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6243A" w:val="clear"/>
        <w:spacing w:after="0" w:before="0" w:line="200"/>
      </w:pPr>
      <w:r>
        <w:rPr>
          <w:sz w:val="10"/>
          <w:szCs w:val="10"/>
        </w:rPr>
        <w:t xml:space="preserve"/>
      </w:r>
    </w:p>
    <w:p>
      <w:pPr>
        <w:shd w:fill="16243A" w:val="clear"/>
        <w:spacing w:after="0" w:before="0" w:line="320"/>
        <w:jc w:val="center"/>
      </w:pPr>
      <w:r>
        <w:rPr>
          <w:rFonts w:ascii="Georgia" w:cs="Georgia" w:eastAsia="Georgia" w:hAnsi="Georgia"/>
          <w:b/>
          <w:bCs/>
          <w:color w:val="FFFFFF"/>
          <w:spacing w:val="24"/>
          <w:sz w:val="38"/>
          <w:szCs w:val="38"/>
        </w:rPr>
        <w:t xml:space="preserve">BAIL COMMERCIAL</w:t>
      </w:r>
    </w:p>
    <w:p>
      <w:pPr>
        <w:shd w:fill="16243A" w:val="clear"/>
        <w:spacing w:after="0" w:before="0" w:line="280"/>
        <w:jc w:val="center"/>
      </w:pPr>
      <w:r>
        <w:rPr>
          <w:rFonts w:ascii="Georgia" w:cs="Georgia" w:eastAsia="Georgia" w:hAnsi="Georgia"/>
          <w:i/>
          <w:iCs/>
          <w:color w:val="B0832F"/>
          <w:sz w:val="24"/>
          <w:szCs w:val="24"/>
        </w:rPr>
        <w:t xml:space="preserve">Statut des baux commerciaux · 3-6-9</w:t>
      </w:r>
    </w:p>
    <w:p>
      <w:pPr>
        <w:shd w:fill="16243A" w:val="clear"/>
        <w:spacing w:after="0" w:before="0" w:line="260"/>
        <w:jc w:val="center"/>
      </w:pPr>
      <w:r>
        <w:rPr>
          <w:color w:val="C8CEDA"/>
          <w:sz w:val="16"/>
          <w:szCs w:val="16"/>
        </w:rPr>
        <w:t xml:space="preserve">Code de commerce — articles L.145-1 et suivants</w:t>
      </w:r>
    </w:p>
    <w:p>
      <w:pPr>
        <w:shd w:fill="16243A" w:val="clear"/>
        <w:spacing w:after="0" w:before="0" w:line="140"/>
      </w:pPr>
      <w:r>
        <w:rPr>
          <w:sz w:val="8"/>
          <w:szCs w:val="8"/>
        </w:rPr>
        <w:t xml:space="preserve"/>
      </w:r>
    </w:p>
    <w:p>
      <w:pPr>
        <w:pBdr>
          <w:bottom w:val="single" w:color="B0832F" w:sz="18" w:space="0"/>
        </w:pBdr>
        <w:spacing w:after="200" w:before="0"/>
      </w:pPr>
      <w:r>
        <w:rPr>
          <w:sz w:val="2"/>
          <w:szCs w:val="2"/>
        </w:rPr>
        <w:t xml:space="preserve"/>
      </w:r>
    </w:p>
    <w:p>
      <w:pPr>
        <w:spacing w:after="200" w:before="0" w:line="288"/>
      </w:pPr>
      <w:r>
        <w:rPr>
          <w:i/>
          <w:iCs/>
          <w:color w:val="6B7280"/>
          <w:sz w:val="18"/>
          <w:szCs w:val="18"/>
        </w:rPr>
        <w:t xml:space="preserve">Document vierge — à imprimer puis à compléter à la main.</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Désignation des parties</w:t>
      </w:r>
    </w:p>
    <w:p>
      <w:pPr>
        <w:pBdr>
          <w:bottom w:val="single" w:color="B0832F" w:sz="4" w:space="3"/>
        </w:pBdr>
        <w:spacing w:after="70" w:before="160"/>
      </w:pPr>
      <w:r>
        <w:rPr>
          <w:rFonts w:ascii="Georgia" w:cs="Georgia" w:eastAsia="Georgia" w:hAnsi="Georgia"/>
          <w:b/>
          <w:bCs/>
          <w:color w:val="16243A"/>
          <w:sz w:val="22"/>
          <w:szCs w:val="22"/>
        </w:rPr>
        <w:t xml:space="preserve">Le bailleur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 / dénomination sociale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Forme juridique et capital (si société)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 siège social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SIREN / RCS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Représentant légal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60" w:before="90" w:line="288"/>
      </w:pPr>
      <w:r>
        <w:rPr>
          <w:i/>
          <w:iCs/>
          <w:color w:val="6B7280"/>
        </w:rPr>
        <w:t xml:space="preserve">Ci-après dénommé « le bailleur ».</w:t>
      </w:r>
    </w:p>
    <w:p>
      <w:pPr>
        <w:pBdr>
          <w:bottom w:val="single" w:color="B0832F" w:sz="4" w:space="3"/>
        </w:pBdr>
        <w:spacing w:after="70" w:before="160"/>
      </w:pPr>
      <w:r>
        <w:rPr>
          <w:rFonts w:ascii="Georgia" w:cs="Georgia" w:eastAsia="Georgia" w:hAnsi="Georgia"/>
          <w:b/>
          <w:bCs/>
          <w:color w:val="16243A"/>
          <w:sz w:val="22"/>
          <w:szCs w:val="22"/>
        </w:rPr>
        <w:t xml:space="preserve">Le preneur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 / dénomination sociale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Forme juridique et capital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 siège social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SIREN / RCS / RM</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Représentant légal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90" w:line="288"/>
      </w:pPr>
      <w:r>
        <w:rPr>
          <w:i/>
          <w:iCs/>
          <w:color w:val="6B7280"/>
        </w:rPr>
        <w:t xml:space="preserve">Ci-après dénommé « le preneur ».</w:t>
      </w:r>
    </w:p>
    <w:p>
      <w:pPr>
        <w:spacing w:after="160" w:before="0" w:line="288"/>
      </w:pPr>
      <w:r>
        <w:rPr>
          <w:b/>
          <w:bCs/>
          <w:color w:val="16243A"/>
        </w:rPr>
        <w:t xml:space="preserve">Il a été convenu ce qui suit.</w:t>
      </w:r>
    </w:p>
    <w:p>
      <w:pPr>
        <w:shd w:fill="16243A" w:val="clear"/>
        <w:spacing w:after="140" w:before="280" w:line="360"/>
        <w:ind w:left="140" w:right="140"/>
      </w:pPr>
      <w:r>
        <w:rPr>
          <w:rFonts w:ascii="Georgia" w:cs="Georgia" w:eastAsia="Georgia" w:hAnsi="Georgia"/>
          <w:b/>
          <w:bCs/>
          <w:color w:val="B0832F"/>
          <w:sz w:val="24"/>
          <w:szCs w:val="24"/>
        </w:rPr>
        <w:t xml:space="preserve">Article 1   </w:t>
      </w:r>
      <w:r>
        <w:rPr>
          <w:rFonts w:ascii="Georgia" w:cs="Georgia" w:eastAsia="Georgia" w:hAnsi="Georgia"/>
          <w:b/>
          <w:bCs/>
          <w:color w:val="FFFFFF"/>
          <w:sz w:val="24"/>
          <w:szCs w:val="24"/>
        </w:rPr>
        <w:t xml:space="preserve">Désignation des locaux</w:t>
      </w:r>
    </w:p>
    <w:p>
      <w:pPr>
        <w:spacing w:after="120" w:before="0" w:line="288"/>
      </w:pPr>
      <w:r>
        <w:t xml:space="preserve">Le bailleur donne à bail au preneur, qui accepte, les locaux ci-après désignés, dans le cadre du statut des baux commerciaux.</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des locaux</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Désignation (boutique, local, étage, dépendances)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Surface (m²) / surface de vente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Locaux accessoires (réserve, cave, parking)</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État des locaux à l'entrée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Article 2   </w:t>
      </w:r>
      <w:r>
        <w:rPr>
          <w:rFonts w:ascii="Georgia" w:cs="Georgia" w:eastAsia="Georgia" w:hAnsi="Georgia"/>
          <w:b/>
          <w:bCs/>
          <w:color w:val="FFFFFF"/>
          <w:sz w:val="24"/>
          <w:szCs w:val="24"/>
        </w:rPr>
        <w:t xml:space="preserve">Destination des lieux</w:t>
      </w:r>
    </w:p>
    <w:p>
      <w:pPr>
        <w:spacing w:after="120" w:before="0" w:line="288"/>
      </w:pPr>
      <w:r>
        <w:rPr>
          <w:b/>
          <w:bCs/>
          <w:color w:val="16243A"/>
        </w:rPr>
        <w:t xml:space="preserve">Activité(s) autorisée(s) : </w:t>
      </w:r>
      <w:r>
        <w:rPr>
          <w:u w:val="single" w:color="9AA3AE"/>
        </w:rPr>
        <w:t xml:space="preserve">                </w:t>
      </w:r>
    </w:p>
    <w:p>
      <w:pPr>
        <w:spacing w:after="120" w:before="0" w:line="288"/>
      </w:pPr>
      <w:r>
        <w:t xml:space="preserve">Les locaux sont loués pour l'exercice exclusif de cette ou ces activités. Toute modification (déspécialisation) est soumise aux dispositions des articles L.145-47 et suivants du Code de commerce.</w:t>
      </w:r>
    </w:p>
    <w:p>
      <w:pPr>
        <w:spacing w:after="120" w:before="0" w:line="288"/>
      </w:pPr>
      <w:r>
        <w:rPr>
          <w:b/>
          <w:bCs/>
          <w:color w:val="16243A"/>
        </w:rPr>
        <w:t xml:space="preserve">Enseigne / nom commercial : </w:t>
      </w:r>
      <w:r>
        <w:rPr>
          <w:u w:val="single" w:color="9AA3AE"/>
        </w:rPr>
        <w:t xml:space="preserve">                </w:t>
      </w:r>
    </w:p>
    <w:p>
      <w:pPr>
        <w:spacing w:after="120" w:before="0" w:line="288"/>
      </w:pPr>
      <w:r>
        <w:rPr>
          <w:b/>
          <w:bCs/>
          <w:color w:val="16243A"/>
        </w:rPr>
        <w:t xml:space="preserve">Clause d'exclusivité ou de non-concurrence : </w:t>
      </w:r>
      <w:r>
        <w:rPr>
          <w:u w:val="single" w:color="9AA3AE"/>
        </w:rPr>
        <w:t xml:space="preserve">                </w:t>
      </w:r>
    </w:p>
    <w:p>
      <w:pPr>
        <w:shd w:fill="16243A" w:val="clear"/>
        <w:spacing w:after="140" w:before="280" w:line="360"/>
        <w:ind w:left="140" w:right="140"/>
      </w:pPr>
      <w:r>
        <w:rPr>
          <w:rFonts w:ascii="Georgia" w:cs="Georgia" w:eastAsia="Georgia" w:hAnsi="Georgia"/>
          <w:b/>
          <w:bCs/>
          <w:color w:val="B0832F"/>
          <w:sz w:val="24"/>
          <w:szCs w:val="24"/>
        </w:rPr>
        <w:t xml:space="preserve">Article 3   </w:t>
      </w:r>
      <w:r>
        <w:rPr>
          <w:rFonts w:ascii="Georgia" w:cs="Georgia" w:eastAsia="Georgia" w:hAnsi="Georgia"/>
          <w:b/>
          <w:bCs/>
          <w:color w:val="FFFFFF"/>
          <w:sz w:val="24"/>
          <w:szCs w:val="24"/>
        </w:rPr>
        <w:t xml:space="preserve">Durée et résiliation triennale</w:t>
      </w:r>
    </w:p>
    <w:p>
      <w:pPr>
        <w:spacing w:after="120" w:before="0" w:line="288"/>
      </w:pPr>
      <w:r>
        <w:t xml:space="preserve">Le bail est consenti pour une durée de </w:t>
      </w:r>
      <w:r>
        <w:rPr>
          <w:b/>
          <w:bCs/>
          <w:color w:val="16243A"/>
        </w:rPr>
        <w:t xml:space="preserve">neuf (9) ans</w:t>
      </w:r>
      <w:r>
        <w:t xml:space="preserve">, à compter du </w:t>
      </w:r>
      <w:r>
        <w:rPr>
          <w:u w:val="single" w:color="9AA3AE"/>
        </w:rPr>
        <w:t xml:space="preserve">                </w:t>
      </w:r>
      <w:r>
        <w:t xml:space="preserve">.</w:t>
      </w:r>
    </w:p>
    <w:p>
      <w:pPr>
        <w:spacing w:after="120" w:before="0" w:line="288"/>
      </w:pPr>
      <w:r>
        <w:rPr>
          <w:b/>
          <w:bCs/>
          <w:color w:val="16243A"/>
        </w:rPr>
        <w:t xml:space="preserve">Faculté de résiliation triennale — </w:t>
      </w:r>
      <w:r>
        <w:t xml:space="preserve">le preneur peut donner congé à l'expiration de chaque période triennale, par lettre recommandée avec avis de réception ou acte de commissaire de justice, moyennant un préavis de six mois (sauf stipulations particulières admises par la loi).</w:t>
      </w:r>
    </w:p>
    <w:p>
      <w:pPr>
        <w:spacing w:after="120" w:before="0" w:line="288"/>
      </w:pPr>
      <w:r>
        <w:rPr>
          <w:b/>
          <w:bCs/>
          <w:color w:val="16243A"/>
        </w:rPr>
        <w:t xml:space="preserve">Renouvellement — </w:t>
      </w:r>
      <w:r>
        <w:t xml:space="preserve">le congé du bailleur et la demande de renouvellement obéissent aux articles L.145-9 et suivants du Code de commerce (voir article 12).</w:t>
      </w:r>
    </w:p>
    <w:p>
      <w:pPr>
        <w:shd w:fill="16243A" w:val="clear"/>
        <w:spacing w:after="140" w:before="280" w:line="360"/>
        <w:ind w:left="140" w:right="140"/>
      </w:pPr>
      <w:r>
        <w:rPr>
          <w:rFonts w:ascii="Georgia" w:cs="Georgia" w:eastAsia="Georgia" w:hAnsi="Georgia"/>
          <w:b/>
          <w:bCs/>
          <w:color w:val="B0832F"/>
          <w:sz w:val="24"/>
          <w:szCs w:val="24"/>
        </w:rPr>
        <w:t xml:space="preserve">Article 4   </w:t>
      </w:r>
      <w:r>
        <w:rPr>
          <w:rFonts w:ascii="Georgia" w:cs="Georgia" w:eastAsia="Georgia" w:hAnsi="Georgia"/>
          <w:b/>
          <w:bCs/>
          <w:color w:val="FFFFFF"/>
          <w:sz w:val="24"/>
          <w:szCs w:val="24"/>
        </w:rPr>
        <w:t xml:space="preserve">Loyer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Loyer annuel hors taxes et hors charges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Périodicité de paiement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Assujettissement à la TVA</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droit d'entrée / pas-de-porte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Article 5   </w:t>
      </w:r>
      <w:r>
        <w:rPr>
          <w:rFonts w:ascii="Georgia" w:cs="Georgia" w:eastAsia="Georgia" w:hAnsi="Georgia"/>
          <w:b/>
          <w:bCs/>
          <w:color w:val="FFFFFF"/>
          <w:sz w:val="24"/>
          <w:szCs w:val="24"/>
        </w:rPr>
        <w:t xml:space="preserve">Indexation et révision</w:t>
      </w:r>
    </w:p>
    <w:p>
      <w:pPr>
        <w:spacing w:after="120" w:before="0" w:line="288"/>
      </w:pPr>
      <w:r>
        <w:rPr>
          <w:b/>
          <w:bCs/>
          <w:color w:val="16243A"/>
        </w:rPr>
        <w:t xml:space="preserve">Clause d'échelle mobile (indexation annuelle) : </w:t>
      </w:r>
      <w:r>
        <w:rPr>
          <w:u w:val="single" w:color="9AA3AE"/>
        </w:rPr>
        <w:t xml:space="preserve">                </w:t>
      </w:r>
    </w:p>
    <w:p>
      <w:pPr>
        <w:spacing w:after="120" w:before="0" w:line="288"/>
      </w:pPr>
      <w:r>
        <w:t xml:space="preserve">Indice de référence : </w:t>
      </w:r>
      <w:r>
        <w:rPr>
          <w:u w:val="single" w:color="9AA3AE"/>
        </w:rPr>
        <w:t xml:space="preserve">                </w:t>
      </w:r>
      <w:r>
        <w:t xml:space="preserve">. À défaut de clause d'indexation, la révision triennale légale (article L.145-38 du Code de commerce) s'applique.</w:t>
      </w:r>
    </w:p>
    <w:p>
      <w:pPr>
        <w:shd w:fill="16243A" w:val="clear"/>
        <w:spacing w:after="140" w:before="280" w:line="360"/>
        <w:ind w:left="140" w:right="140"/>
      </w:pPr>
      <w:r>
        <w:rPr>
          <w:rFonts w:ascii="Georgia" w:cs="Georgia" w:eastAsia="Georgia" w:hAnsi="Georgia"/>
          <w:b/>
          <w:bCs/>
          <w:color w:val="B0832F"/>
          <w:sz w:val="24"/>
          <w:szCs w:val="24"/>
        </w:rPr>
        <w:t xml:space="preserve">Article 6   </w:t>
      </w:r>
      <w:r>
        <w:rPr>
          <w:rFonts w:ascii="Georgia" w:cs="Georgia" w:eastAsia="Georgia" w:hAnsi="Georgia"/>
          <w:b/>
          <w:bCs/>
          <w:color w:val="FFFFFF"/>
          <w:sz w:val="24"/>
          <w:szCs w:val="24"/>
        </w:rPr>
        <w:t xml:space="preserve">Dépôt de garantie</w:t>
      </w:r>
    </w:p>
    <w:p>
      <w:pPr>
        <w:spacing w:after="120" w:before="0" w:line="288"/>
      </w:pPr>
      <w:r>
        <w:t xml:space="preserve">Le preneur verse un dépôt de garantie de </w:t>
      </w:r>
      <w:r>
        <w:rPr>
          <w:u w:val="single" w:color="9AA3AE"/>
        </w:rPr>
        <w:t xml:space="preserve">                </w:t>
      </w:r>
      <w:r>
        <w:t xml:space="preserve"> €, restitué en fin de bail déduction faite des sommes dues. Au-delà de deux termes de loyer d'avance, il porte intérêt au profit du preneur.</w:t>
      </w:r>
    </w:p>
    <w:p>
      <w:pPr>
        <w:shd w:fill="16243A" w:val="clear"/>
        <w:spacing w:after="140" w:before="280" w:line="360"/>
        <w:ind w:left="140" w:right="140"/>
      </w:pPr>
      <w:r>
        <w:rPr>
          <w:rFonts w:ascii="Georgia" w:cs="Georgia" w:eastAsia="Georgia" w:hAnsi="Georgia"/>
          <w:b/>
          <w:bCs/>
          <w:color w:val="B0832F"/>
          <w:sz w:val="24"/>
          <w:szCs w:val="24"/>
        </w:rPr>
        <w:t xml:space="preserve">Article 7   </w:t>
      </w:r>
      <w:r>
        <w:rPr>
          <w:rFonts w:ascii="Georgia" w:cs="Georgia" w:eastAsia="Georgia" w:hAnsi="Georgia"/>
          <w:b/>
          <w:bCs/>
          <w:color w:val="FFFFFF"/>
          <w:sz w:val="24"/>
          <w:szCs w:val="24"/>
        </w:rPr>
        <w:t xml:space="preserve">Charges, impôts et taxes</w:t>
      </w:r>
    </w:p>
    <w:p>
      <w:pPr>
        <w:spacing w:after="120" w:before="0" w:line="288"/>
      </w:pPr>
      <w:r>
        <w:t xml:space="preserve">Un inventaire précis et limitatif des catégories de charges, impôts, taxes et redevances liés au bail, avec leur répartition entre bailleur et preneur, est annexé au contrat (article L.145-40-2 du Code de commerce).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Charges récupérables sur le preneur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Taxe foncière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Charges, impôts non récupérables (à la charge du bailleur)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Reddition annuelle des charges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Article 8   </w:t>
      </w:r>
      <w:r>
        <w:rPr>
          <w:rFonts w:ascii="Georgia" w:cs="Georgia" w:eastAsia="Georgia" w:hAnsi="Georgia"/>
          <w:b/>
          <w:bCs/>
          <w:color w:val="FFFFFF"/>
          <w:sz w:val="24"/>
          <w:szCs w:val="24"/>
        </w:rPr>
        <w:t xml:space="preserve">Travaux et réparations</w:t>
      </w:r>
    </w:p>
    <w:p>
      <w:pPr>
        <w:spacing w:after="120" w:before="0" w:line="288"/>
      </w:pPr>
      <w:r>
        <w:t xml:space="preserve">La répartition des travaux est précisée ci-dessous. Les grosses réparations de l'article 606 du Code civil restent à la charge du bailleur. Un état prévisionnel des travaux des trois années à venir, et un état récapitulatif des travaux des trois années écoulées, sont communiqués (article L.145-40-2).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Travaux à la charge du bailleur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Travaux à la charge du preneur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État prévisionnel des travaux (3 ans)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Article 9   </w:t>
      </w:r>
      <w:r>
        <w:rPr>
          <w:rFonts w:ascii="Georgia" w:cs="Georgia" w:eastAsia="Georgia" w:hAnsi="Georgia"/>
          <w:b/>
          <w:bCs/>
          <w:color w:val="FFFFFF"/>
          <w:sz w:val="24"/>
          <w:szCs w:val="24"/>
        </w:rPr>
        <w:t xml:space="preserve">État des lieux</w:t>
      </w:r>
    </w:p>
    <w:p>
      <w:pPr>
        <w:spacing w:after="120" w:before="0" w:line="288"/>
      </w:pPr>
      <w:r>
        <w:t xml:space="preserve">Un état des lieux contradictoire est établi à la prise de possession et à la restitution des locaux, joint au contrat (article L.145-40-1 du Code de commerce).</w:t>
      </w:r>
    </w:p>
    <w:p>
      <w:pPr>
        <w:shd w:fill="16243A" w:val="clear"/>
        <w:spacing w:after="140" w:before="280" w:line="360"/>
        <w:ind w:left="140" w:right="140"/>
      </w:pPr>
      <w:r>
        <w:rPr>
          <w:rFonts w:ascii="Georgia" w:cs="Georgia" w:eastAsia="Georgia" w:hAnsi="Georgia"/>
          <w:b/>
          <w:bCs/>
          <w:color w:val="B0832F"/>
          <w:sz w:val="24"/>
          <w:szCs w:val="24"/>
        </w:rPr>
        <w:t xml:space="preserve">Article 10   </w:t>
      </w:r>
      <w:r>
        <w:rPr>
          <w:rFonts w:ascii="Georgia" w:cs="Georgia" w:eastAsia="Georgia" w:hAnsi="Georgia"/>
          <w:b/>
          <w:bCs/>
          <w:color w:val="FFFFFF"/>
          <w:sz w:val="24"/>
          <w:szCs w:val="24"/>
        </w:rPr>
        <w:t xml:space="preserve">Entretien et jouissance</w:t>
      </w:r>
    </w:p>
    <w:p>
      <w:pPr>
        <w:spacing w:after="120" w:before="0" w:line="288"/>
      </w:pPr>
      <w:r>
        <w:t xml:space="preserve">Le preneur entretient les locaux et les rend en bon état de réparations locatives en fin de bail. Il use des lieux en bon père de famille, conformément à leur destination, et respecte le règlement de copropriété le cas échéant.</w:t>
      </w:r>
    </w:p>
    <w:p>
      <w:pPr>
        <w:shd w:fill="16243A" w:val="clear"/>
        <w:spacing w:after="140" w:before="280" w:line="360"/>
        <w:ind w:left="140" w:right="140"/>
      </w:pPr>
      <w:r>
        <w:rPr>
          <w:rFonts w:ascii="Georgia" w:cs="Georgia" w:eastAsia="Georgia" w:hAnsi="Georgia"/>
          <w:b/>
          <w:bCs/>
          <w:color w:val="B0832F"/>
          <w:sz w:val="24"/>
          <w:szCs w:val="24"/>
        </w:rPr>
        <w:t xml:space="preserve">Article 11   </w:t>
      </w:r>
      <w:r>
        <w:rPr>
          <w:rFonts w:ascii="Georgia" w:cs="Georgia" w:eastAsia="Georgia" w:hAnsi="Georgia"/>
          <w:b/>
          <w:bCs/>
          <w:color w:val="FFFFFF"/>
          <w:sz w:val="24"/>
          <w:szCs w:val="24"/>
        </w:rPr>
        <w:t xml:space="preserve">Cession et sous-location</w:t>
      </w:r>
    </w:p>
    <w:p>
      <w:pPr>
        <w:spacing w:after="120" w:before="0" w:line="288"/>
      </w:pPr>
      <w:r>
        <w:rPr>
          <w:b/>
          <w:bCs/>
          <w:color w:val="16243A"/>
        </w:rPr>
        <w:t xml:space="preserve">Cession — </w:t>
      </w:r>
      <w:r>
        <w:t xml:space="preserve">le preneur peut céder son bail à l'acquéreur de son fonds de commerce ; toute autre cession requiert l'accord du bailleur dans les conditions prévues au contrat.</w:t>
      </w:r>
    </w:p>
    <w:p>
      <w:pPr>
        <w:spacing w:after="120" w:before="0" w:line="288"/>
      </w:pPr>
      <w:r>
        <w:rPr>
          <w:b/>
          <w:bCs/>
          <w:color w:val="16243A"/>
        </w:rPr>
        <w:t xml:space="preserve">Sous-location — </w:t>
      </w:r>
      <w:r>
        <w:t xml:space="preserve">la sous-location, totale ou partielle, est interdite sauf accord exprès du bailleur, qui est appelé à concourir à l'acte (article L.145-31).</w:t>
      </w:r>
    </w:p>
    <w:p>
      <w:pPr>
        <w:shd w:fill="16243A" w:val="clear"/>
        <w:spacing w:after="140" w:before="280" w:line="360"/>
        <w:ind w:left="140" w:right="140"/>
      </w:pPr>
      <w:r>
        <w:rPr>
          <w:rFonts w:ascii="Georgia" w:cs="Georgia" w:eastAsia="Georgia" w:hAnsi="Georgia"/>
          <w:b/>
          <w:bCs/>
          <w:color w:val="B0832F"/>
          <w:sz w:val="24"/>
          <w:szCs w:val="24"/>
        </w:rPr>
        <w:t xml:space="preserve">Article 12   </w:t>
      </w:r>
      <w:r>
        <w:rPr>
          <w:rFonts w:ascii="Georgia" w:cs="Georgia" w:eastAsia="Georgia" w:hAnsi="Georgia"/>
          <w:b/>
          <w:bCs/>
          <w:color w:val="FFFFFF"/>
          <w:sz w:val="24"/>
          <w:szCs w:val="24"/>
        </w:rPr>
        <w:t xml:space="preserve">Renouvellement et indemnité d'éviction</w:t>
      </w:r>
    </w:p>
    <w:p>
      <w:pPr>
        <w:spacing w:after="120" w:before="0" w:line="288"/>
      </w:pPr>
      <w:r>
        <w:t xml:space="preserve">À l'expiration du bail, le preneur bénéficie du droit au renouvellement dans les conditions des articles L.145-8 et suivants. À défaut de renouvellement et hors motif grave et légitime ou autre cas légal, le bailleur doit une indemnité d'éviction (article L.145-14).</w:t>
      </w:r>
    </w:p>
    <w:p>
      <w:pPr>
        <w:shd w:fill="16243A" w:val="clear"/>
        <w:spacing w:after="140" w:before="280" w:line="360"/>
        <w:ind w:left="140" w:right="140"/>
      </w:pPr>
      <w:r>
        <w:rPr>
          <w:rFonts w:ascii="Georgia" w:cs="Georgia" w:eastAsia="Georgia" w:hAnsi="Georgia"/>
          <w:b/>
          <w:bCs/>
          <w:color w:val="B0832F"/>
          <w:sz w:val="24"/>
          <w:szCs w:val="24"/>
        </w:rPr>
        <w:t xml:space="preserve">Article 13   </w:t>
      </w:r>
      <w:r>
        <w:rPr>
          <w:rFonts w:ascii="Georgia" w:cs="Georgia" w:eastAsia="Georgia" w:hAnsi="Georgia"/>
          <w:b/>
          <w:bCs/>
          <w:color w:val="FFFFFF"/>
          <w:sz w:val="24"/>
          <w:szCs w:val="24"/>
        </w:rPr>
        <w:t xml:space="preserve">Clause résolutoire</w:t>
      </w:r>
    </w:p>
    <w:p>
      <w:pPr>
        <w:spacing w:after="120" w:before="0" w:line="288"/>
      </w:pPr>
      <w:r>
        <w:t xml:space="preserve">À défaut de paiement du loyer ou des charges, ou en cas d'inexécution d'une clause du bail, et un mois après un commandement demeuré infructueux visant la présente clause, le bail sera résilié de plein droit si bon semble au bailleur.</w:t>
      </w:r>
    </w:p>
    <w:p>
      <w:pPr>
        <w:shd w:fill="16243A" w:val="clear"/>
        <w:spacing w:after="140" w:before="280" w:line="360"/>
        <w:ind w:left="140" w:right="140"/>
      </w:pPr>
      <w:r>
        <w:rPr>
          <w:rFonts w:ascii="Georgia" w:cs="Georgia" w:eastAsia="Georgia" w:hAnsi="Georgia"/>
          <w:b/>
          <w:bCs/>
          <w:color w:val="B0832F"/>
          <w:sz w:val="24"/>
          <w:szCs w:val="24"/>
        </w:rPr>
        <w:t xml:space="preserve">Article 14   </w:t>
      </w:r>
      <w:r>
        <w:rPr>
          <w:rFonts w:ascii="Georgia" w:cs="Georgia" w:eastAsia="Georgia" w:hAnsi="Georgia"/>
          <w:b/>
          <w:bCs/>
          <w:color w:val="FFFFFF"/>
          <w:sz w:val="24"/>
          <w:szCs w:val="24"/>
        </w:rPr>
        <w:t xml:space="preserve">Assurances</w:t>
      </w:r>
    </w:p>
    <w:p>
      <w:pPr>
        <w:spacing w:after="120" w:before="0" w:line="288"/>
      </w:pPr>
      <w:r>
        <w:t xml:space="preserve">Chaque partie assure les risques qui lui incombent ; le preneur s'assure notamment contre l'incendie, les dégâts des eaux et sa responsabilité, et justifie de ses polices à première demande.</w:t>
      </w:r>
    </w:p>
    <w:p>
      <w:pPr>
        <w:shd w:fill="16243A" w:val="clear"/>
        <w:spacing w:after="140" w:before="280" w:line="360"/>
        <w:ind w:left="140" w:right="140"/>
      </w:pPr>
      <w:r>
        <w:rPr>
          <w:rFonts w:ascii="Georgia" w:cs="Georgia" w:eastAsia="Georgia" w:hAnsi="Georgia"/>
          <w:b/>
          <w:bCs/>
          <w:color w:val="B0832F"/>
          <w:sz w:val="24"/>
          <w:szCs w:val="24"/>
        </w:rPr>
        <w:t xml:space="preserve">Article 15   </w:t>
      </w:r>
      <w:r>
        <w:rPr>
          <w:rFonts w:ascii="Georgia" w:cs="Georgia" w:eastAsia="Georgia" w:hAnsi="Georgia"/>
          <w:b/>
          <w:bCs/>
          <w:color w:val="FFFFFF"/>
          <w:sz w:val="24"/>
          <w:szCs w:val="24"/>
        </w:rPr>
        <w:t xml:space="preserve">Diagnostics et annexes</w:t>
      </w:r>
    </w:p>
    <w:p>
      <w:pPr>
        <w:spacing w:after="120" w:before="0" w:line="288"/>
      </w:pPr>
      <w:r>
        <w:rPr>
          <w:i/>
          <w:iCs/>
          <w:color w:val="6B7280"/>
        </w:rPr>
        <w:t xml:space="preserve">Sont annexés au contrat :</w:t>
      </w:r>
    </w:p>
    <w:p>
      <w:pPr>
        <w:pStyle w:val="ListParagraph"/>
        <w:numPr>
          <w:ilvl w:val="0"/>
          <w:numId w:val="2"/>
        </w:numPr>
        <w:spacing w:after="90" w:line="288"/>
      </w:pPr>
      <w:r>
        <w:t xml:space="preserve">le diagnostic de performance énergétique (DPE) ;</w:t>
      </w:r>
    </w:p>
    <w:p>
      <w:pPr>
        <w:pStyle w:val="ListParagraph"/>
        <w:numPr>
          <w:ilvl w:val="0"/>
          <w:numId w:val="2"/>
        </w:numPr>
        <w:spacing w:after="90" w:line="288"/>
      </w:pPr>
      <w:r>
        <w:t xml:space="preserve">l'état des risques et pollutions (ERP) ;</w:t>
      </w:r>
    </w:p>
    <w:p>
      <w:pPr>
        <w:pStyle w:val="ListParagraph"/>
        <w:numPr>
          <w:ilvl w:val="0"/>
          <w:numId w:val="2"/>
        </w:numPr>
        <w:spacing w:after="90" w:line="288"/>
      </w:pPr>
      <w:r>
        <w:t xml:space="preserve">le cas échéant, le diagnostic amiante (DTA) ;</w:t>
      </w:r>
    </w:p>
    <w:p>
      <w:pPr>
        <w:pStyle w:val="ListParagraph"/>
        <w:numPr>
          <w:ilvl w:val="0"/>
          <w:numId w:val="2"/>
        </w:numPr>
        <w:spacing w:after="90" w:line="288"/>
      </w:pPr>
      <w:r>
        <w:t xml:space="preserve">l'inventaire précis et limitatif des charges, impôts et taxes (art. L.145-40-2) ;</w:t>
      </w:r>
    </w:p>
    <w:p>
      <w:pPr>
        <w:pStyle w:val="ListParagraph"/>
        <w:numPr>
          <w:ilvl w:val="0"/>
          <w:numId w:val="2"/>
        </w:numPr>
        <w:spacing w:after="90" w:line="288"/>
      </w:pPr>
      <w:r>
        <w:t xml:space="preserve">l'état prévisionnel et récapitulatif des travaux (art. L.145-40-2) ;</w:t>
      </w:r>
    </w:p>
    <w:p>
      <w:pPr>
        <w:pStyle w:val="ListParagraph"/>
        <w:numPr>
          <w:ilvl w:val="0"/>
          <w:numId w:val="2"/>
        </w:numPr>
        <w:spacing w:after="90" w:line="288"/>
      </w:pPr>
      <w:r>
        <w:t xml:space="preserve">l'état des lieux d'entrée ;</w:t>
      </w:r>
    </w:p>
    <w:p>
      <w:pPr>
        <w:pStyle w:val="ListParagraph"/>
        <w:numPr>
          <w:ilvl w:val="0"/>
          <w:numId w:val="2"/>
        </w:numPr>
        <w:spacing w:after="90" w:line="288"/>
      </w:pPr>
      <w:r>
        <w:t xml:space="preserve">le cas échéant, les extraits du règlement de copropriété.</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Signatures</w:t>
      </w:r>
    </w:p>
    <w:p>
      <w:pPr>
        <w:spacing w:after="220" w:before="0" w:line="288"/>
      </w:pPr>
      <w:r>
        <w:t xml:space="preserve">Fait à </w:t>
      </w:r>
      <w:r>
        <w:rPr>
          <w:u w:val="single" w:color="9AA3AE"/>
        </w:rPr>
        <w:t xml:space="preserve">                </w:t>
      </w:r>
      <w:r>
        <w:t xml:space="preserve">, le </w:t>
      </w:r>
      <w:r>
        <w:rPr>
          <w:u w:val="single" w:color="9AA3AE"/>
        </w:rPr>
        <w:t xml:space="preserve">                </w:t>
      </w:r>
      <w:r>
        <w:t xml:space="preserve">, en deux exemplaires originaux, dont un remis à chaque partie.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bailleur</w:t>
            </w:r>
          </w:p>
          <w:p>
            <w:r>
              <w:rPr>
                <w:i/>
                <w:iCs/>
                <w:color w:val="6B7280"/>
                <w:sz w:val="16"/>
                <w:szCs w:val="16"/>
              </w:rPr>
              <w:t xml:space="preserve">Précédée de « Lu et approuvé »</w:t>
            </w:r>
          </w:p>
        </w:tc>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preneur</w:t>
            </w:r>
          </w:p>
          <w:p>
            <w:r>
              <w:rPr>
                <w:i/>
                <w:iCs/>
                <w:color w:val="6B7280"/>
                <w:sz w:val="16"/>
                <w:szCs w:val="16"/>
              </w:rPr>
              <w:t xml:space="preserve">Précédée de « Lu et approuvé »</w:t>
            </w:r>
          </w:p>
        </w:tc>
      </w:tr>
      <w:tr>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r>
    </w:tbl>
    <w:sectPr>
      <w:headerReference w:type="default" r:id="rId7"/>
      <w:footerReference w:type="default" r:id="rId8"/>
      <w:pgSz w:w="11906" w:h="16838" w:orient="portrait"/>
      <w:pgMar w:top="1080" w:right="1134" w:bottom="108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1E8" w:sz="4" w:space="4"/>
      </w:pBdr>
      <w:jc w:val="center"/>
    </w:pPr>
    <w:r>
      <w:rPr>
        <w:color w:val="6B7280"/>
        <w:sz w:val="15"/>
        <w:szCs w:val="15"/>
      </w:rPr>
      <w:t xml:space="preserve">Bail commercial (3-6-9)   ·   page </w:t>
    </w:r>
    <w:r>
      <w:rPr>
        <w:color w:val="6B7280"/>
        <w:sz w:val="15"/>
        <w:szCs w:val="15"/>
      </w:rPr>
      <w:fldChar w:fldCharType="begin"/>
      <w:instrText xml:space="preserve">PAGE</w:instrText>
      <w:fldChar w:fldCharType="separate"/>
      <w:fldChar w:fldCharType="end"/>
    </w:r>
    <w:r>
      <w:rPr>
        <w:color w:val="6B7280"/>
        <w:sz w:val="15"/>
        <w:szCs w:val="15"/>
      </w:rPr>
      <w:t xml:space="preserve"> / </w:t>
    </w:r>
    <w:r>
      <w:rPr>
        <w:color w:val="6B72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1E8" w:sz="4" w:space="4"/>
      </w:pBdr>
      <w:jc w:val="right"/>
    </w:pPr>
    <w:r>
      <w:rPr>
        <w:rFonts w:ascii="Georgia" w:cs="Georgia" w:eastAsia="Georgia" w:hAnsi="Georgia"/>
        <w:i/>
        <w:iCs/>
        <w:color w:val="6B7280"/>
        <w:sz w:val="15"/>
        <w:szCs w:val="15"/>
      </w:rPr>
      <w:t xml:space="preserve">Bail commercial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rPr>
        <w:color w:val="B0832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7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2026-06-16T06:55:31.345Z</dcterms:created>
  <dcterms:modified xsi:type="dcterms:W3CDTF">2026-06-16T06:55:31.345Z</dcterms:modified>
</cp:coreProperties>
</file>

<file path=docProps/custom.xml><?xml version="1.0" encoding="utf-8"?>
<Properties xmlns="http://schemas.openxmlformats.org/officeDocument/2006/custom-properties" xmlns:vt="http://schemas.openxmlformats.org/officeDocument/2006/docPropsVTypes"/>
</file>