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6243A" w:val="clear"/>
        <w:spacing w:after="0" w:before="0" w:line="200"/>
      </w:pPr>
      <w:r>
        <w:rPr>
          <w:sz w:val="10"/>
          <w:szCs w:val="10"/>
        </w:rPr>
        <w:t xml:space="preserve"/>
      </w:r>
    </w:p>
    <w:p>
      <w:pPr>
        <w:shd w:fill="16243A" w:val="clear"/>
        <w:spacing w:after="0" w:before="0" w:line="320"/>
        <w:jc w:val="center"/>
      </w:pPr>
      <w:r>
        <w:rPr>
          <w:rFonts w:ascii="Georgia" w:cs="Georgia" w:eastAsia="Georgia" w:hAnsi="Georgia"/>
          <w:b/>
          <w:bCs/>
          <w:color w:val="FFFFFF"/>
          <w:spacing w:val="24"/>
          <w:sz w:val="38"/>
          <w:szCs w:val="38"/>
        </w:rPr>
        <w:t xml:space="preserve">CONTRAT DE LOCATION</w:t>
      </w:r>
    </w:p>
    <w:p>
      <w:pPr>
        <w:shd w:fill="16243A" w:val="clear"/>
        <w:spacing w:after="0" w:before="0" w:line="280"/>
        <w:jc w:val="center"/>
      </w:pPr>
      <w:r>
        <w:rPr>
          <w:rFonts w:ascii="Georgia" w:cs="Georgia" w:eastAsia="Georgia" w:hAnsi="Georgia"/>
          <w:i/>
          <w:iCs/>
          <w:color w:val="B0832F"/>
          <w:sz w:val="24"/>
          <w:szCs w:val="24"/>
        </w:rPr>
        <w:t xml:space="preserve">Logement meublé · Résidence principale</w:t>
      </w:r>
    </w:p>
    <w:p>
      <w:pPr>
        <w:shd w:fill="16243A" w:val="clear"/>
        <w:spacing w:after="0" w:before="0" w:line="260"/>
        <w:jc w:val="center"/>
      </w:pPr>
      <w:r>
        <w:rPr>
          <w:color w:val="C8CEDA"/>
          <w:sz w:val="16"/>
          <w:szCs w:val="16"/>
        </w:rPr>
        <w:t xml:space="preserve">Loi n° 89-462 du 6 juillet 1989 — titre Ier bis</w:t>
      </w:r>
    </w:p>
    <w:p>
      <w:pPr>
        <w:shd w:fill="16243A" w:val="clear"/>
        <w:spacing w:after="0" w:before="0" w:line="140"/>
      </w:pPr>
      <w:r>
        <w:rPr>
          <w:sz w:val="8"/>
          <w:szCs w:val="8"/>
        </w:rPr>
        <w:t xml:space="preserve"/>
      </w:r>
    </w:p>
    <w:p>
      <w:pPr>
        <w:pBdr>
          <w:bottom w:val="single" w:color="B0832F" w:sz="18" w:space="0"/>
        </w:pBdr>
        <w:spacing w:after="200" w:before="0"/>
      </w:pPr>
      <w:r>
        <w:rPr>
          <w:sz w:val="2"/>
          <w:szCs w:val="2"/>
        </w:rPr>
        <w:t xml:space="preserve"/>
      </w:r>
    </w:p>
    <w:p>
      <w:pPr>
        <w:spacing w:after="200" w:before="0" w:line="288"/>
      </w:pPr>
      <w:r>
        <w:rPr>
          <w:i/>
          <w:iCs/>
          <w:color w:val="6B7280"/>
          <w:sz w:val="18"/>
          <w:szCs w:val="18"/>
        </w:rPr>
        <w:t xml:space="preserve">Document vierge — à imprimer puis à compléter à la main.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§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Désignation des parties</w:t>
      </w:r>
    </w:p>
    <w:p>
      <w:pPr>
        <w:spacing w:after="120" w:before="0" w:line="288"/>
      </w:pPr>
      <w:r>
        <w:rPr>
          <w:i/>
          <w:iCs/>
          <w:color w:val="6B7280"/>
        </w:rPr>
        <w:t xml:space="preserve">Le présent contrat est conclu entre les soussignés :</w:t>
      </w:r>
    </w:p>
    <w:p>
      <w:pPr>
        <w:pBdr>
          <w:bottom w:val="single" w:color="B0832F" w:sz="4" w:space="3"/>
        </w:pBdr>
        <w:spacing w:after="70" w:before="160"/>
      </w:pPr>
      <w:r>
        <w:rPr>
          <w:rFonts w:ascii="Georgia" w:cs="Georgia" w:eastAsia="Georgia" w:hAnsi="Georgia"/>
          <w:b/>
          <w:bCs/>
          <w:color w:val="16243A"/>
          <w:sz w:val="22"/>
          <w:szCs w:val="22"/>
        </w:rPr>
        <w:t xml:space="preserve">Le bailleur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Nom et prénom (ou raison sociale)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Adresse / siège social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Qualité (personne physique / morale)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Le cas échéant, mandataire (nom, carte pro.)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60" w:before="90" w:line="288"/>
      </w:pPr>
      <w:r>
        <w:rPr>
          <w:i/>
          <w:iCs/>
          <w:color w:val="6B7280"/>
        </w:rPr>
        <w:t xml:space="preserve">Ci-après dénommé « le bailleur ».</w:t>
      </w:r>
    </w:p>
    <w:p>
      <w:pPr>
        <w:pBdr>
          <w:bottom w:val="single" w:color="B0832F" w:sz="4" w:space="3"/>
        </w:pBdr>
        <w:spacing w:after="70" w:before="160"/>
      </w:pPr>
      <w:r>
        <w:rPr>
          <w:rFonts w:ascii="Georgia" w:cs="Georgia" w:eastAsia="Georgia" w:hAnsi="Georgia"/>
          <w:b/>
          <w:bCs/>
          <w:color w:val="16243A"/>
          <w:sz w:val="22"/>
          <w:szCs w:val="22"/>
        </w:rPr>
        <w:t xml:space="preserve">Le locataire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Nom et prénom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Date et lieu de naissance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Adresse actuelle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Le cas échéant, garant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20" w:before="90" w:line="288"/>
      </w:pPr>
      <w:r>
        <w:rPr>
          <w:i/>
          <w:iCs/>
          <w:color w:val="6B7280"/>
        </w:rPr>
        <w:t xml:space="preserve">Ci-après dénommé « le locataire ».</w:t>
      </w:r>
    </w:p>
    <w:p>
      <w:pPr>
        <w:spacing w:after="160" w:before="0" w:line="288"/>
      </w:pPr>
      <w:r>
        <w:rPr>
          <w:b/>
          <w:bCs/>
          <w:color w:val="16243A"/>
        </w:rPr>
        <w:t xml:space="preserve">Il a été convenu ce qui suit.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Article 1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Objet du contrat et désignation du logement</w:t>
      </w:r>
    </w:p>
    <w:p>
      <w:pPr>
        <w:spacing w:after="120" w:before="0" w:line="288"/>
      </w:pPr>
      <w:r>
        <w:t xml:space="preserve">Le bailleur loue au locataire, qui accepte, le logement meublé désigné ci-dessous, à usage exclusif d'habitation et de résidence principale du locataire.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Adresse du logement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Bâtiment / étage / n° de porte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Type (studio, T2, etc.)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Nombre de pièces principales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Surface habitable (m²)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Période de construction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Régime (copropriété / monopropriété)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Chauffage (individuel / collectif)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Production d'eau chaude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20" w:before="120" w:line="288"/>
      </w:pPr>
      <w:r>
        <w:rPr>
          <w:b/>
          <w:bCs/>
          <w:color w:val="16243A"/>
        </w:rPr>
        <w:t xml:space="preserve">Locaux et équipements privatifs : </w:t>
      </w:r>
      <w:r>
        <w:rPr>
          <w:u w:val="single" w:color="9AA3AE"/>
        </w:rPr>
        <w:t xml:space="preserve">                </w:t>
      </w:r>
    </w:p>
    <w:p>
      <w:pPr>
        <w:spacing w:after="120" w:before="0" w:line="288"/>
      </w:pPr>
      <w:r>
        <w:rPr>
          <w:b/>
          <w:bCs/>
          <w:color w:val="16243A"/>
        </w:rPr>
        <w:t xml:space="preserve">Locaux et équipements communs : </w:t>
      </w:r>
      <w:r>
        <w:rPr>
          <w:u w:val="single" w:color="9AA3AE"/>
        </w:rPr>
        <w:t xml:space="preserve">                </w:t>
      </w:r>
    </w:p>
    <w:p>
      <w:pPr>
        <w:spacing w:after="120" w:before="0" w:line="288"/>
      </w:pPr>
      <w:r>
        <w:rPr>
          <w:b/>
          <w:bCs/>
          <w:color w:val="16243A"/>
        </w:rPr>
        <w:t xml:space="preserve">Accès aux technologies de l'information : </w:t>
      </w:r>
      <w:r>
        <w:rPr>
          <w:u w:val="single" w:color="9AA3AE"/>
        </w:rPr>
        <w:t xml:space="preserve">                </w:t>
      </w:r>
    </w:p>
    <w:p>
      <w:pPr>
        <w:spacing w:after="120" w:before="120" w:line="288"/>
      </w:pPr>
      <w:r>
        <w:rPr>
          <w:i/>
          <w:iCs/>
          <w:color w:val="6B7280"/>
        </w:rPr>
        <w:t xml:space="preserve">Le logement est loué meublé. L'inventaire et l'état détaillé du mobilier figurent en Annexe 1 et font partie intégrante du contrat.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Article 2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Date de prise d'effet et durée</w:t>
      </w:r>
    </w:p>
    <w:p>
      <w:pPr>
        <w:spacing w:after="120" w:before="0" w:line="288"/>
      </w:pPr>
      <w:r>
        <w:t xml:space="preserve">Le contrat est conclu pour une durée de </w:t>
      </w:r>
      <w:r>
        <w:rPr>
          <w:b/>
          <w:bCs/>
          <w:color w:val="16243A"/>
        </w:rPr>
        <w:t xml:space="preserve">un (1) an</w:t>
      </w:r>
      <w:r>
        <w:t xml:space="preserve">, à compter du </w:t>
      </w:r>
      <w:r>
        <w:rPr>
          <w:u w:val="single" w:color="9AA3AE"/>
        </w:rPr>
        <w:t xml:space="preserve">                </w:t>
      </w:r>
      <w:r>
        <w:t xml:space="preserve">.</w:t>
      </w:r>
    </w:p>
    <w:p>
      <w:pPr>
        <w:spacing w:after="120" w:before="0" w:line="288"/>
      </w:pPr>
      <w:r>
        <w:t xml:space="preserve">À son terme, il est reconduit tacitement pour un an, dans les mêmes conditions, sauf congé donné dans les formes et délais légaux (article 7).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Article 3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Conditions financières</w:t>
      </w:r>
    </w:p>
    <w:p>
      <w:pPr>
        <w:pBdr>
          <w:bottom w:val="single" w:color="B0832F" w:sz="4" w:space="3"/>
        </w:pBdr>
        <w:spacing w:after="70" w:before="160"/>
      </w:pPr>
      <w:r>
        <w:rPr>
          <w:rFonts w:ascii="Georgia" w:cs="Georgia" w:eastAsia="Georgia" w:hAnsi="Georgia"/>
          <w:b/>
          <w:bCs/>
          <w:color w:val="16243A"/>
          <w:sz w:val="22"/>
          <w:szCs w:val="22"/>
        </w:rPr>
        <w:t xml:space="preserve">3.1 — Loyer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Loyer mensuel hors charges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Zone d'encadrement des loyers ?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Le cas échéant, loyer de référence majoré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Le cas échéant, complément de loyer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</w:tbl>
    <w:p>
      <w:pPr>
        <w:pBdr>
          <w:bottom w:val="single" w:color="B0832F" w:sz="4" w:space="3"/>
        </w:pBdr>
        <w:spacing w:after="70" w:before="160"/>
      </w:pPr>
      <w:r>
        <w:rPr>
          <w:rFonts w:ascii="Georgia" w:cs="Georgia" w:eastAsia="Georgia" w:hAnsi="Georgia"/>
          <w:b/>
          <w:bCs/>
          <w:color w:val="16243A"/>
          <w:sz w:val="22"/>
          <w:szCs w:val="22"/>
        </w:rPr>
        <w:t xml:space="preserve">3.2 — Charges</w:t>
      </w:r>
    </w:p>
    <w:p>
      <w:pPr>
        <w:spacing w:after="120" w:before="0" w:line="288"/>
      </w:pPr>
      <w:r>
        <w:rPr>
          <w:b/>
          <w:bCs/>
          <w:color w:val="16243A"/>
        </w:rPr>
        <w:t xml:space="preserve">Modalité : </w:t>
      </w:r>
      <w:r>
        <w:rPr>
          <w:u w:val="single" w:color="9AA3AE"/>
        </w:rPr>
        <w:t xml:space="preserve">                </w:t>
      </w:r>
    </w:p>
    <w:p>
      <w:pPr>
        <w:spacing w:after="120" w:before="0" w:line="288"/>
      </w:pPr>
      <w:r>
        <w:rPr>
          <w:b/>
          <w:bCs/>
          <w:color w:val="16243A"/>
        </w:rPr>
        <w:t xml:space="preserve">Montant mensuel : </w:t>
      </w:r>
      <w:r>
        <w:rPr>
          <w:u w:val="single" w:color="9AA3AE"/>
        </w:rPr>
        <w:t xml:space="preserve">                </w:t>
      </w:r>
    </w:p>
    <w:p>
      <w:pPr>
        <w:spacing w:after="120" w:before="0" w:line="288"/>
      </w:pPr>
      <w:r>
        <w:t xml:space="preserve">En cas de provisions, le bailleur procède à une régularisation annuelle au regard des dépenses réelles et communique le décompte par nature de charges. Le forfait ne donne pas lieu à régularisation.</w:t>
      </w:r>
    </w:p>
    <w:p>
      <w:pPr>
        <w:pBdr>
          <w:bottom w:val="single" w:color="B0832F" w:sz="4" w:space="3"/>
        </w:pBdr>
        <w:spacing w:after="70" w:before="160"/>
      </w:pPr>
      <w:r>
        <w:rPr>
          <w:rFonts w:ascii="Georgia" w:cs="Georgia" w:eastAsia="Georgia" w:hAnsi="Georgia"/>
          <w:b/>
          <w:bCs/>
          <w:color w:val="16243A"/>
          <w:sz w:val="22"/>
          <w:szCs w:val="22"/>
        </w:rPr>
        <w:t xml:space="preserve">3.3 — Modalités de paiement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Périodicité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Date de paiement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Montant total par échéance (loyer + charges)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Mode de paiement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</w:tbl>
    <w:p>
      <w:pPr>
        <w:pBdr>
          <w:bottom w:val="single" w:color="B0832F" w:sz="4" w:space="3"/>
        </w:pBdr>
        <w:spacing w:after="70" w:before="160"/>
      </w:pPr>
      <w:r>
        <w:rPr>
          <w:rFonts w:ascii="Georgia" w:cs="Georgia" w:eastAsia="Georgia" w:hAnsi="Georgia"/>
          <w:b/>
          <w:bCs/>
          <w:color w:val="16243A"/>
          <w:sz w:val="22"/>
          <w:szCs w:val="22"/>
        </w:rPr>
        <w:t xml:space="preserve">3.4 — Révision du loyer</w:t>
      </w:r>
    </w:p>
    <w:p>
      <w:pPr>
        <w:spacing w:after="120" w:before="0" w:line="288"/>
      </w:pPr>
      <w:r>
        <w:t xml:space="preserve">Révision annuelle à la date anniversaire, selon l'indice de référence des loyers (IRL) de l'INSEE. Indice de référence : </w:t>
      </w:r>
      <w:r>
        <w:rPr>
          <w:u w:val="single" w:color="9AA3AE"/>
        </w:rPr>
        <w:t xml:space="preserve">                </w:t>
      </w:r>
      <w:r>
        <w:t xml:space="preserve">.</w:t>
      </w:r>
    </w:p>
    <w:p>
      <w:pPr>
        <w:pBdr>
          <w:bottom w:val="single" w:color="B0832F" w:sz="4" w:space="3"/>
        </w:pBdr>
        <w:spacing w:after="70" w:before="160"/>
      </w:pPr>
      <w:r>
        <w:rPr>
          <w:rFonts w:ascii="Georgia" w:cs="Georgia" w:eastAsia="Georgia" w:hAnsi="Georgia"/>
          <w:b/>
          <w:bCs/>
          <w:color w:val="16243A"/>
          <w:sz w:val="22"/>
          <w:szCs w:val="22"/>
        </w:rPr>
        <w:t xml:space="preserve">3.5 — Dépôt de garantie</w:t>
      </w:r>
    </w:p>
    <w:p>
      <w:pPr>
        <w:spacing w:after="120" w:before="0" w:line="288"/>
      </w:pPr>
      <w:r>
        <w:t xml:space="preserve">Dépôt de garantie de </w:t>
      </w:r>
      <w:r>
        <w:rPr>
          <w:u w:val="single" w:color="9AA3AE"/>
        </w:rPr>
        <w:t xml:space="preserve">                </w:t>
      </w:r>
      <w:r>
        <w:t xml:space="preserve"> €, dans la limite de </w:t>
      </w:r>
      <w:r>
        <w:rPr>
          <w:b/>
          <w:bCs/>
          <w:color w:val="16243A"/>
        </w:rPr>
        <w:t xml:space="preserve">deux (2) mois de loyer hors charges</w:t>
      </w:r>
      <w:r>
        <w:t xml:space="preserve"> (location meublée). Restitué sous deux mois maximum, ou un mois si l'état des lieux de sortie est conforme à celui d'entrée, déduction faite des sommes dues.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Article 4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Travaux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Travaux depuis le dernier contrat / la dernière reconduction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Montant des travaux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</w:tbl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Obligations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Obligations du bailleur</w:t>
      </w:r>
    </w:p>
    <w:p>
      <w:pPr>
        <w:spacing w:after="120" w:before="0" w:line="288"/>
      </w:pPr>
      <w:r>
        <w:rPr>
          <w:i/>
          <w:iCs/>
          <w:color w:val="6B7280"/>
        </w:rPr>
        <w:t xml:space="preserve">Le bailleur est tenu :</w:t>
      </w:r>
    </w:p>
    <w:p>
      <w:pPr>
        <w:pStyle w:val="ListParagraph"/>
        <w:numPr>
          <w:ilvl w:val="0"/>
          <w:numId w:val="2"/>
        </w:numPr>
        <w:spacing w:after="90" w:line="288"/>
      </w:pPr>
      <w:r>
        <w:t xml:space="preserve">de délivrer un logement décent, en bon état d'usage et de réparation, avec des équipements en bon état de fonctionnement ;</w:t>
      </w:r>
    </w:p>
    <w:p>
      <w:pPr>
        <w:pStyle w:val="ListParagraph"/>
        <w:numPr>
          <w:ilvl w:val="0"/>
          <w:numId w:val="2"/>
        </w:numPr>
        <w:spacing w:after="90" w:line="288"/>
      </w:pPr>
      <w:r>
        <w:t xml:space="preserve">d'assurer au locataire la jouissance paisible du logement et de le garantir des vices ou défauts y faisant obstacle ;</w:t>
      </w:r>
    </w:p>
    <w:p>
      <w:pPr>
        <w:pStyle w:val="ListParagraph"/>
        <w:numPr>
          <w:ilvl w:val="0"/>
          <w:numId w:val="2"/>
        </w:numPr>
        <w:spacing w:after="90" w:line="288"/>
      </w:pPr>
      <w:r>
        <w:t xml:space="preserve">d'entretenir les locaux et d'y faire les réparations, autres que locatives, nécessaires au maintien en état ;</w:t>
      </w:r>
    </w:p>
    <w:p>
      <w:pPr>
        <w:pStyle w:val="ListParagraph"/>
        <w:numPr>
          <w:ilvl w:val="0"/>
          <w:numId w:val="2"/>
        </w:numPr>
        <w:spacing w:after="90" w:line="288"/>
      </w:pPr>
      <w:r>
        <w:t xml:space="preserve">de ne pas s'opposer aux aménagements du locataire qui ne constituent pas une transformation de la chose louée ;</w:t>
      </w:r>
    </w:p>
    <w:p>
      <w:pPr>
        <w:pStyle w:val="ListParagraph"/>
        <w:numPr>
          <w:ilvl w:val="0"/>
          <w:numId w:val="2"/>
        </w:numPr>
        <w:spacing w:after="90" w:line="288"/>
      </w:pPr>
      <w:r>
        <w:t xml:space="preserve">de remettre gratuitement une quittance au locataire qui en fait la demande.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Obligations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Obligations du locataire</w:t>
      </w:r>
    </w:p>
    <w:p>
      <w:pPr>
        <w:spacing w:after="120" w:before="0" w:line="288"/>
      </w:pPr>
      <w:r>
        <w:rPr>
          <w:i/>
          <w:iCs/>
          <w:color w:val="6B7280"/>
        </w:rPr>
        <w:t xml:space="preserve">Le locataire est tenu :</w:t>
      </w:r>
    </w:p>
    <w:p>
      <w:pPr>
        <w:pStyle w:val="ListParagraph"/>
        <w:numPr>
          <w:ilvl w:val="0"/>
          <w:numId w:val="3"/>
        </w:numPr>
        <w:spacing w:after="90" w:line="288"/>
      </w:pPr>
      <w:r>
        <w:t xml:space="preserve">de payer le loyer et les charges récupérables aux termes convenus ;</w:t>
      </w:r>
    </w:p>
    <w:p>
      <w:pPr>
        <w:pStyle w:val="ListParagraph"/>
        <w:numPr>
          <w:ilvl w:val="0"/>
          <w:numId w:val="3"/>
        </w:numPr>
        <w:spacing w:after="90" w:line="288"/>
      </w:pPr>
      <w:r>
        <w:t xml:space="preserve">d'user paisiblement des locaux suivant leur destination ;</w:t>
      </w:r>
    </w:p>
    <w:p>
      <w:pPr>
        <w:pStyle w:val="ListParagraph"/>
        <w:numPr>
          <w:ilvl w:val="0"/>
          <w:numId w:val="3"/>
        </w:numPr>
        <w:spacing w:after="90" w:line="288"/>
      </w:pPr>
      <w:r>
        <w:t xml:space="preserve">de répondre des dégradations et pertes survenues pendant la location, sauf force majeure, faute du bailleur ou fait d'un tiers ;</w:t>
      </w:r>
    </w:p>
    <w:p>
      <w:pPr>
        <w:pStyle w:val="ListParagraph"/>
        <w:numPr>
          <w:ilvl w:val="0"/>
          <w:numId w:val="3"/>
        </w:numPr>
        <w:spacing w:after="90" w:line="288"/>
      </w:pPr>
      <w:r>
        <w:t xml:space="preserve">d'assurer l'entretien courant, les menues réparations et les réparations locatives, hors vétusté, malfaçon, vice ou force majeure ;</w:t>
      </w:r>
    </w:p>
    <w:p>
      <w:pPr>
        <w:pStyle w:val="ListParagraph"/>
        <w:numPr>
          <w:ilvl w:val="0"/>
          <w:numId w:val="3"/>
        </w:numPr>
        <w:spacing w:after="90" w:line="288"/>
      </w:pPr>
      <w:r>
        <w:t xml:space="preserve">de laisser exécuter les travaux d'amélioration et d'entretien nécessaires ;</w:t>
      </w:r>
    </w:p>
    <w:p>
      <w:pPr>
        <w:pStyle w:val="ListParagraph"/>
        <w:numPr>
          <w:ilvl w:val="0"/>
          <w:numId w:val="3"/>
        </w:numPr>
        <w:spacing w:after="90" w:line="288"/>
      </w:pPr>
      <w:r>
        <w:t xml:space="preserve">de ne pas transformer les locaux sans l'accord écrit du bailleur ;</w:t>
      </w:r>
    </w:p>
    <w:p>
      <w:pPr>
        <w:pStyle w:val="ListParagraph"/>
        <w:numPr>
          <w:ilvl w:val="0"/>
          <w:numId w:val="3"/>
        </w:numPr>
        <w:spacing w:after="90" w:line="288"/>
      </w:pPr>
      <w:r>
        <w:t xml:space="preserve">de ne pas céder le bail ni sous-louer sans l'accord écrit du bailleur ;</w:t>
      </w:r>
    </w:p>
    <w:p>
      <w:pPr>
        <w:pStyle w:val="ListParagraph"/>
        <w:numPr>
          <w:ilvl w:val="0"/>
          <w:numId w:val="3"/>
        </w:numPr>
        <w:spacing w:after="90" w:line="288"/>
      </w:pPr>
      <w:r>
        <w:t xml:space="preserve">de s'assurer contre les risques locatifs et d'en justifier à la remise des clés puis chaque année.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Article 7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Congé (résiliation)</w:t>
      </w:r>
    </w:p>
    <w:p>
      <w:pPr>
        <w:spacing w:after="120" w:before="0" w:line="288"/>
      </w:pPr>
      <w:r>
        <w:rPr>
          <w:b/>
          <w:bCs/>
          <w:color w:val="16243A"/>
        </w:rPr>
        <w:t xml:space="preserve">Par le locataire — </w:t>
      </w:r>
      <w:r>
        <w:t xml:space="preserve">à tout moment, avec un préavis d'</w:t>
      </w:r>
      <w:r>
        <w:rPr>
          <w:b/>
          <w:bCs/>
          <w:color w:val="16243A"/>
        </w:rPr>
        <w:t xml:space="preserve">un (1) mois</w:t>
      </w:r>
      <w:r>
        <w:t xml:space="preserve">, par lettre recommandée avec avis de réception, acte de commissaire de justice ou remise en main propre contre récépissé.</w:t>
      </w:r>
    </w:p>
    <w:p>
      <w:pPr>
        <w:spacing w:after="120" w:before="0" w:line="288"/>
      </w:pPr>
      <w:r>
        <w:rPr>
          <w:b/>
          <w:bCs/>
          <w:color w:val="16243A"/>
        </w:rPr>
        <w:t xml:space="preserve">Par le bailleur — </w:t>
      </w:r>
      <w:r>
        <w:t xml:space="preserve">uniquement à l'échéance, avec un préavis de </w:t>
      </w:r>
      <w:r>
        <w:rPr>
          <w:b/>
          <w:bCs/>
          <w:color w:val="16243A"/>
        </w:rPr>
        <w:t xml:space="preserve">trois (3) mois</w:t>
      </w:r>
      <w:r>
        <w:t xml:space="preserve">, pour un motif légal : reprise pour habiter, vente, ou motif légitime et sérieux. Le congé doit être motivé.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Article 8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Clause résolutoire et solidarité</w:t>
      </w:r>
    </w:p>
    <w:p>
      <w:pPr>
        <w:spacing w:after="120" w:before="0" w:line="288"/>
      </w:pPr>
      <w:r>
        <w:rPr>
          <w:b/>
          <w:bCs/>
          <w:color w:val="16243A"/>
        </w:rPr>
        <w:t xml:space="preserve">Clause résolutoire — </w:t>
      </w:r>
      <w:r>
        <w:t xml:space="preserve">résiliation de plein droit, après commandement ou sommation restés infructueux dans les délais légaux, en cas de défaut de paiement du loyer ou des charges, de non-versement du dépôt de garantie, de défaut d'assurance, ou de troubles de voisinage constatés par décision de justice définitive.</w:t>
      </w:r>
    </w:p>
    <w:p>
      <w:pPr>
        <w:spacing w:after="120" w:before="0" w:line="288"/>
      </w:pPr>
      <w:r>
        <w:rPr>
          <w:b/>
          <w:bCs/>
          <w:color w:val="16243A"/>
        </w:rPr>
        <w:t xml:space="preserve">Clause de solidarité (le cas échéant) — </w:t>
      </w:r>
      <w:r>
        <w:t xml:space="preserve">en présence de plusieurs locataires ou d'un garant, les parties sont tenues solidairement et indivisiblement des obligations du contrat, dans les conditions et limites légales.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Article 9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Assurance</w:t>
      </w:r>
    </w:p>
    <w:p>
      <w:pPr>
        <w:spacing w:after="120" w:before="0" w:line="288"/>
      </w:pPr>
      <w:r>
        <w:t xml:space="preserve">Le locataire justifie d'une assurance contre les risques locatifs à la remise des clés, puis chaque année. À défaut, et après mise en demeure infructueuse, le bailleur peut résilier le contrat ou souscrire une assurance pour le compte du locataire et en récupérer le coût.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Article 10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Honoraires de location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À la charge du locataire (visite, dossier, bail)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État des lieux à la charge du locataire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rPr>
          <w:trHeight w:val="540" w:hRule="atLeast"/>
        </w:trPr>
        <w:tc>
          <w:tcPr>
            <w:tcW w:type="dxa" w:w="3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  <w:sz w:val="19"/>
                <w:szCs w:val="19"/>
              </w:rPr>
              <w:t xml:space="preserve">À la charge du bailleur</w:t>
            </w:r>
          </w:p>
        </w:tc>
        <w:tc>
          <w:tcPr>
            <w:tcW w:type="dxa" w:w="58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20" w:before="70" w:line="288"/>
      </w:pPr>
      <w:r>
        <w:rPr>
          <w:i/>
          <w:iCs/>
          <w:color w:val="6B7280"/>
          <w:sz w:val="18"/>
          <w:szCs w:val="18"/>
        </w:rPr>
        <w:t xml:space="preserve">Les honoraires à la charge du locataire sont plafonnés et ne peuvent excéder ceux du bailleur ni les plafonds réglementaires par m².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Article 11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État des lieux et inventaire</w:t>
      </w:r>
    </w:p>
    <w:p>
      <w:pPr>
        <w:spacing w:after="120" w:before="0" w:line="288"/>
      </w:pPr>
      <w:r>
        <w:t xml:space="preserve">Un état des lieux contradictoire est établi à la remise puis à la restitution des clés. Un inventaire et un état détaillé du mobilier le sont de la même manière. Ces documents sont annexés et signés par les deux parties.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Article 12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Annexes</w:t>
      </w:r>
    </w:p>
    <w:p>
      <w:pPr>
        <w:spacing w:after="120" w:before="0" w:line="288"/>
      </w:pPr>
      <w:r>
        <w:rPr>
          <w:i/>
          <w:iCs/>
          <w:color w:val="6B7280"/>
        </w:rPr>
        <w:t xml:space="preserve">Sont annexés au contrat et en font partie intégrante :</w:t>
      </w:r>
    </w:p>
    <w:p>
      <w:pPr>
        <w:pStyle w:val="ListParagraph"/>
        <w:numPr>
          <w:ilvl w:val="0"/>
          <w:numId w:val="4"/>
        </w:numPr>
        <w:spacing w:after="90" w:line="288"/>
      </w:pPr>
      <w:r>
        <w:t xml:space="preserve">Annexe 1 — Inventaire et état détaillé du mobilier ;</w:t>
      </w:r>
    </w:p>
    <w:p>
      <w:pPr>
        <w:pStyle w:val="ListParagraph"/>
        <w:numPr>
          <w:ilvl w:val="0"/>
          <w:numId w:val="4"/>
        </w:numPr>
        <w:spacing w:after="90" w:line="288"/>
      </w:pPr>
      <w:r>
        <w:t xml:space="preserve">l'état des lieux d'entrée ;</w:t>
      </w:r>
    </w:p>
    <w:p>
      <w:pPr>
        <w:pStyle w:val="ListParagraph"/>
        <w:numPr>
          <w:ilvl w:val="0"/>
          <w:numId w:val="4"/>
        </w:numPr>
        <w:spacing w:after="90" w:line="288"/>
      </w:pPr>
      <w:r>
        <w:t xml:space="preserve">le dossier de diagnostic technique (DPE ; CREP plomb si applicable ; état des risques et pollutions ; état des installations électricité/gaz si applicable ; amiante le cas échéant) ;</w:t>
      </w:r>
    </w:p>
    <w:p>
      <w:pPr>
        <w:pStyle w:val="ListParagraph"/>
        <w:numPr>
          <w:ilvl w:val="0"/>
          <w:numId w:val="4"/>
        </w:numPr>
        <w:spacing w:after="90" w:line="288"/>
      </w:pPr>
      <w:r>
        <w:t xml:space="preserve">la notice d'information relative aux droits et obligations des parties ;</w:t>
      </w:r>
    </w:p>
    <w:p>
      <w:pPr>
        <w:pStyle w:val="ListParagraph"/>
        <w:numPr>
          <w:ilvl w:val="0"/>
          <w:numId w:val="4"/>
        </w:numPr>
        <w:spacing w:after="90" w:line="288"/>
      </w:pPr>
      <w:r>
        <w:t xml:space="preserve">le cas échéant, les extraits du règlement de copropriété ;</w:t>
      </w:r>
    </w:p>
    <w:p>
      <w:pPr>
        <w:pStyle w:val="ListParagraph"/>
        <w:numPr>
          <w:ilvl w:val="0"/>
          <w:numId w:val="4"/>
        </w:numPr>
        <w:spacing w:after="90" w:line="288"/>
      </w:pPr>
      <w:r>
        <w:t xml:space="preserve">le cas échéant, l'autorisation ou la déclaration de mise en location.</w:t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✓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Signatures</w:t>
      </w:r>
    </w:p>
    <w:p>
      <w:pPr>
        <w:spacing w:after="220" w:before="0" w:line="288"/>
      </w:pPr>
      <w:r>
        <w:t xml:space="preserve">Fait à </w:t>
      </w:r>
      <w:r>
        <w:rPr>
          <w:u w:val="single" w:color="9AA3AE"/>
        </w:rPr>
        <w:t xml:space="preserve">                </w:t>
      </w:r>
      <w:r>
        <w:t xml:space="preserve">, le </w:t>
      </w:r>
      <w:r>
        <w:rPr>
          <w:u w:val="single" w:color="9AA3AE"/>
        </w:rPr>
        <w:t xml:space="preserve">                </w:t>
      </w:r>
      <w:r>
        <w:t xml:space="preserve">, en deux exemplaires originaux, dont un remis à chaque partie.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</w:rPr>
              <w:t xml:space="preserve">Le bailleur</w:t>
            </w:r>
          </w:p>
          <w:p>
            <w:r>
              <w:rPr>
                <w:i/>
                <w:iCs/>
                <w:color w:val="6B7280"/>
                <w:sz w:val="16"/>
                <w:szCs w:val="16"/>
              </w:rPr>
              <w:t xml:space="preserve">Précédée de « Lu et approuvé »</w:t>
            </w:r>
          </w:p>
        </w:tc>
        <w:tc>
          <w:tcPr>
            <w:tcW w:type="dxa" w:w="4513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</w:rPr>
              <w:t xml:space="preserve">Le locataire</w:t>
            </w:r>
          </w:p>
          <w:p>
            <w:r>
              <w:rPr>
                <w:i/>
                <w:iCs/>
                <w:color w:val="6B7280"/>
                <w:sz w:val="16"/>
                <w:szCs w:val="16"/>
              </w:rPr>
              <w:t xml:space="preserve">Précédée de « Lu et approuvé »</w:t>
            </w:r>
          </w:p>
        </w:tc>
      </w:tr>
      <w:tr>
        <w:tc>
          <w:tcPr>
            <w:tcW w:type="dxa" w:w="4513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pPr>
              <w:spacing w:before="700"/>
            </w:pPr>
            <w:r>
              <w:t xml:space="preserve"/>
            </w:r>
          </w:p>
        </w:tc>
        <w:tc>
          <w:tcPr>
            <w:tcW w:type="dxa" w:w="4513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pPr>
              <w:spacing w:before="700"/>
            </w:pPr>
            <w:r>
              <w:t xml:space="preserve"/>
            </w:r>
          </w:p>
        </w:tc>
      </w:tr>
    </w:tbl>
    <w:p>
      <w:r>
        <w:br w:type="page"/>
      </w:r>
    </w:p>
    <w:p>
      <w:pPr>
        <w:shd w:fill="16243A" w:val="clear"/>
        <w:spacing w:after="140" w:before="280" w:line="360"/>
        <w:ind w:left="140" w:right="140"/>
      </w:pPr>
      <w:r>
        <w:rPr>
          <w:rFonts w:ascii="Georgia" w:cs="Georgia" w:eastAsia="Georgia" w:hAnsi="Georgia"/>
          <w:b/>
          <w:bCs/>
          <w:color w:val="B0832F"/>
          <w:sz w:val="24"/>
          <w:szCs w:val="24"/>
        </w:rPr>
        <w:t xml:space="preserve">Annexe 1   </w:t>
      </w:r>
      <w:r>
        <w:rPr>
          <w:rFonts w:ascii="Georgia" w:cs="Georgia" w:eastAsia="Georgia" w:hAnsi="Georgia"/>
          <w:b/>
          <w:bCs/>
          <w:color w:val="FFFFFF"/>
          <w:sz w:val="24"/>
          <w:szCs w:val="24"/>
        </w:rPr>
        <w:t xml:space="preserve">Inventaire et état détaillé du mobilier</w:t>
      </w:r>
    </w:p>
    <w:p>
      <w:pPr>
        <w:spacing w:after="120" w:before="0" w:line="288"/>
      </w:pPr>
      <w:r>
        <w:rPr>
          <w:i/>
          <w:iCs/>
          <w:color w:val="6B7280"/>
          <w:sz w:val="18"/>
          <w:szCs w:val="18"/>
        </w:rPr>
        <w:t xml:space="preserve">Le logement meublé doit comporter au minimum les éléments suivants (décret n° 2015-981 du 31 juillet 2015). Indiquez la quantité et l'état de chaque élément ; complétez les lignes vides pour le mobilier supplémentaire.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600"/>
        <w:gridCol w:w="3226"/>
      </w:tblGrid>
      <w:tr>
        <w:trPr>
          <w:tblHeader/>
        </w:trP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16243A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FFFFFF"/>
              </w:rPr>
              <w:t xml:space="preserve">Élément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16243A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FFFFFF"/>
              </w:rPr>
              <w:t xml:space="preserve">Quantité</w:t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16243A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FFFFFF"/>
              </w:rPr>
              <w:t xml:space="preserve">État</w:t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Literie comprenant couette ou couverture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Dispositif d'occultation des fenêtres dans les chambres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Plaques de cuisson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Four ou four à micro-ondes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Réfrigérateur et congélateur (ou compartiment à -6 °C min.)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Vaisselle nécessaire à la prise des repas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Ustensiles de cuisine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Table et sièges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Étagères de rangement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Luminaires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sz w:val="19"/>
                <w:szCs w:val="19"/>
              </w:rPr>
              <w:t xml:space="preserve">Matériel d'entretien ménager adapté au logement</w:t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  <w:tr>
        <w:tc>
          <w:tcPr>
            <w:tcW w:type="dxa" w:w="42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600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3226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20" w:before="200" w:line="288"/>
      </w:pPr>
      <w:r>
        <w:rPr>
          <w:i/>
          <w:iCs/>
          <w:color w:val="6B7280"/>
        </w:rPr>
        <w:t xml:space="preserve">Inventaire établi contradictoirement le </w:t>
      </w:r>
      <w:r>
        <w:rPr>
          <w:u w:val="single" w:color="9AA3AE"/>
        </w:rPr>
        <w:t xml:space="preserve">                </w:t>
      </w:r>
      <w:r>
        <w:rPr>
          <w:i/>
          <w:iCs/>
          <w:color w:val="6B7280"/>
        </w:rPr>
        <w:t xml:space="preserve">, à </w:t>
      </w:r>
      <w:r>
        <w:rPr>
          <w:u w:val="single" w:color="9AA3AE"/>
        </w:rPr>
        <w:t xml:space="preserve">                </w:t>
      </w:r>
      <w:r>
        <w:rPr>
          <w:i/>
          <w:iCs/>
          <w:color w:val="6B7280"/>
        </w:rPr>
        <w:t xml:space="preserve">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</w:rPr>
              <w:t xml:space="preserve">Le bailleur</w:t>
            </w:r>
          </w:p>
        </w:tc>
        <w:tc>
          <w:tcPr>
            <w:tcW w:type="dxa" w:w="4513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shd w:fill="EDF0F4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r>
              <w:rPr>
                <w:b/>
                <w:bCs/>
                <w:color w:val="16243A"/>
              </w:rPr>
              <w:t xml:space="preserve">Le locataire</w:t>
            </w:r>
          </w:p>
        </w:tc>
      </w:tr>
      <w:tr>
        <w:tc>
          <w:tcPr>
            <w:tcW w:type="dxa" w:w="4513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pPr>
              <w:spacing w:before="700"/>
            </w:pPr>
            <w:r>
              <w:t xml:space="preserve"/>
            </w:r>
          </w:p>
        </w:tc>
        <w:tc>
          <w:tcPr>
            <w:tcW w:type="dxa" w:w="4513"/>
            <w:tcBorders>
              <w:top w:val="single" w:color="DCE1E8" w:sz="2"/>
              <w:left w:val="single" w:color="DCE1E8" w:sz="2"/>
              <w:bottom w:val="single" w:color="DCE1E8" w:sz="2"/>
              <w:right w:val="single" w:color="DCE1E8" w:sz="2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center"/>
          </w:tcPr>
          <w:p>
            <w:pPr>
              <w:spacing w:before="700"/>
            </w:pPr>
            <w: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134" w:bottom="108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1E8" w:sz="4" w:space="4"/>
      </w:pBdr>
      <w:jc w:val="center"/>
    </w:pPr>
    <w:r>
      <w:rPr>
        <w:color w:val="6B7280"/>
        <w:sz w:val="15"/>
        <w:szCs w:val="15"/>
      </w:rPr>
      <w:t xml:space="preserve">Bail meublé à usage de résidence principale   ·   page </w:t>
    </w:r>
    <w:r>
      <w:rPr>
        <w:color w:val="6B728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5"/>
        <w:szCs w:val="15"/>
      </w:rPr>
      <w:t xml:space="preserve"> / </w:t>
    </w:r>
    <w:r>
      <w:rPr>
        <w:color w:val="6B728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1E8" w:sz="4" w:space="4"/>
      </w:pBdr>
      <w:jc w:val="right"/>
    </w:pPr>
    <w:r>
      <w:rPr>
        <w:rFonts w:ascii="Georgia" w:cs="Georgia" w:eastAsia="Georgia" w:hAnsi="Georgia"/>
        <w:i/>
        <w:iCs/>
        <w:color w:val="6B7280"/>
        <w:sz w:val="15"/>
        <w:szCs w:val="15"/>
      </w:rPr>
      <w:t xml:space="preserve">Contrat de location — logement meublé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540" w:hanging="280"/>
      </w:pPr>
      <w:rPr>
        <w:color w:val="B0832F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540" w:hanging="280"/>
      </w:pPr>
      <w:rPr>
        <w:color w:val="B0832F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540" w:hanging="280"/>
      </w:pPr>
      <w:rPr>
        <w:color w:val="B083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7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2026-06-16T06:55:31.268Z</dcterms:created>
  <dcterms:modified xsi:type="dcterms:W3CDTF">2026-06-16T06:55:31.268Z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