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hd w:fill="16243A" w:val="clear"/>
        <w:spacing w:after="0" w:before="0" w:line="200"/>
      </w:pPr>
      <w:r>
        <w:rPr>
          <w:sz w:val="10"/>
          <w:szCs w:val="10"/>
        </w:rPr>
        <w:t xml:space="preserve"/>
      </w:r>
    </w:p>
    <w:p>
      <w:pPr>
        <w:shd w:fill="16243A" w:val="clear"/>
        <w:spacing w:after="0" w:before="0" w:line="320"/>
        <w:jc w:val="center"/>
      </w:pPr>
      <w:r>
        <w:rPr>
          <w:rFonts w:ascii="Georgia" w:cs="Georgia" w:eastAsia="Georgia" w:hAnsi="Georgia"/>
          <w:b/>
          <w:bCs/>
          <w:color w:val="FFFFFF"/>
          <w:spacing w:val="24"/>
          <w:sz w:val="38"/>
          <w:szCs w:val="38"/>
        </w:rPr>
        <w:t xml:space="preserve">BAIL PROFESSIONNEL</w:t>
      </w:r>
    </w:p>
    <w:p>
      <w:pPr>
        <w:shd w:fill="16243A" w:val="clear"/>
        <w:spacing w:after="0" w:before="0" w:line="280"/>
        <w:jc w:val="center"/>
      </w:pPr>
      <w:r>
        <w:rPr>
          <w:rFonts w:ascii="Georgia" w:cs="Georgia" w:eastAsia="Georgia" w:hAnsi="Georgia"/>
          <w:i/>
          <w:iCs/>
          <w:color w:val="B0832F"/>
          <w:sz w:val="24"/>
          <w:szCs w:val="24"/>
        </w:rPr>
        <w:t xml:space="preserve">Professions libérales · Usage professionnel</w:t>
      </w:r>
    </w:p>
    <w:p>
      <w:pPr>
        <w:shd w:fill="16243A" w:val="clear"/>
        <w:spacing w:after="0" w:before="0" w:line="260"/>
        <w:jc w:val="center"/>
      </w:pPr>
      <w:r>
        <w:rPr>
          <w:color w:val="C8CEDA"/>
          <w:sz w:val="16"/>
          <w:szCs w:val="16"/>
        </w:rPr>
        <w:t xml:space="preserve">Loi n° 86-1290 du 23 décembre 1986 — article 57 A</w:t>
      </w:r>
    </w:p>
    <w:p>
      <w:pPr>
        <w:shd w:fill="16243A" w:val="clear"/>
        <w:spacing w:after="0" w:before="0" w:line="140"/>
      </w:pPr>
      <w:r>
        <w:rPr>
          <w:sz w:val="8"/>
          <w:szCs w:val="8"/>
        </w:rPr>
        <w:t xml:space="preserve"/>
      </w:r>
    </w:p>
    <w:p>
      <w:pPr>
        <w:pBdr>
          <w:bottom w:val="single" w:color="B0832F" w:sz="18" w:space="0"/>
        </w:pBdr>
        <w:spacing w:after="200" w:before="0"/>
      </w:pPr>
      <w:r>
        <w:rPr>
          <w:sz w:val="2"/>
          <w:szCs w:val="2"/>
        </w:rPr>
        <w:t xml:space="preserve"/>
      </w:r>
    </w:p>
    <w:p>
      <w:pPr>
        <w:spacing w:after="200" w:before="0" w:line="288"/>
      </w:pPr>
      <w:r>
        <w:rPr>
          <w:i/>
          <w:iCs/>
          <w:color w:val="6B7280"/>
          <w:sz w:val="18"/>
          <w:szCs w:val="18"/>
        </w:rPr>
        <w:t xml:space="preserve">Document vierge — à imprimer puis à compléter à la main.</w:t>
      </w:r>
    </w:p>
    <w:p>
      <w:pPr>
        <w:shd w:fill="16243A" w:val="clear"/>
        <w:spacing w:after="140" w:before="280" w:line="360"/>
        <w:ind w:left="140" w:right="140"/>
      </w:pPr>
      <w:r>
        <w:rPr>
          <w:rFonts w:ascii="Georgia" w:cs="Georgia" w:eastAsia="Georgia" w:hAnsi="Georgia"/>
          <w:b/>
          <w:bCs/>
          <w:color w:val="B0832F"/>
          <w:sz w:val="24"/>
          <w:szCs w:val="24"/>
        </w:rPr>
        <w:t xml:space="preserve">§   </w:t>
      </w:r>
      <w:r>
        <w:rPr>
          <w:rFonts w:ascii="Georgia" w:cs="Georgia" w:eastAsia="Georgia" w:hAnsi="Georgia"/>
          <w:b/>
          <w:bCs/>
          <w:color w:val="FFFFFF"/>
          <w:sz w:val="24"/>
          <w:szCs w:val="24"/>
        </w:rPr>
        <w:t xml:space="preserve">Désignation des parties</w:t>
      </w:r>
    </w:p>
    <w:p>
      <w:pPr>
        <w:pBdr>
          <w:bottom w:val="single" w:color="B0832F" w:sz="4" w:space="3"/>
        </w:pBdr>
        <w:spacing w:after="70" w:before="160"/>
      </w:pPr>
      <w:r>
        <w:rPr>
          <w:rFonts w:ascii="Georgia" w:cs="Georgia" w:eastAsia="Georgia" w:hAnsi="Georgia"/>
          <w:b/>
          <w:bCs/>
          <w:color w:val="16243A"/>
          <w:sz w:val="22"/>
          <w:szCs w:val="22"/>
        </w:rPr>
        <w:t xml:space="preserve">Le bailleur</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200"/>
        <w:gridCol w:w="5826"/>
      </w:tblGrid>
      <w:tr>
        <w:trPr>
          <w:trHeight w:val="540" w:hRule="atLeast"/>
        </w:trPr>
        <w:tc>
          <w:tcPr>
            <w:tcW w:type="dxa" w:w="3200"/>
            <w:tcBorders>
              <w:top w:val="single" w:color="DCE1E8" w:sz="2"/>
              <w:left w:val="single" w:color="DCE1E8" w:sz="2"/>
              <w:bottom w:val="single" w:color="DCE1E8" w:sz="2"/>
              <w:right w:val="single" w:color="DCE1E8" w:sz="2"/>
            </w:tcBorders>
            <w:shd w:fill="EDF0F4" w:val="clear"/>
            <w:tcMar>
              <w:top w:type="dxa" w:w="70"/>
              <w:left w:type="dxa" w:w="130"/>
              <w:bottom w:type="dxa" w:w="70"/>
              <w:right w:type="dxa" w:w="130"/>
            </w:tcMar>
            <w:vAlign w:val="center"/>
          </w:tcPr>
          <w:p>
            <w:r>
              <w:rPr>
                <w:b/>
                <w:bCs/>
                <w:color w:val="16243A"/>
                <w:sz w:val="19"/>
                <w:szCs w:val="19"/>
              </w:rPr>
              <w:t xml:space="preserve">Nom / dénomination sociale</w:t>
            </w:r>
          </w:p>
        </w:tc>
        <w:tc>
          <w:tcPr>
            <w:tcW w:type="dxa" w:w="5826"/>
            <w:tcBorders>
              <w:top w:val="single" w:color="DCE1E8" w:sz="2"/>
              <w:left w:val="single" w:color="DCE1E8" w:sz="2"/>
              <w:bottom w:val="single" w:color="DCE1E8" w:sz="2"/>
              <w:right w:val="single" w:color="DCE1E8" w:sz="2"/>
            </w:tcBorders>
            <w:tcMar>
              <w:top w:type="dxa" w:w="70"/>
              <w:left w:type="dxa" w:w="130"/>
              <w:bottom w:type="dxa" w:w="70"/>
              <w:right w:type="dxa" w:w="130"/>
            </w:tcMar>
            <w:vAlign w:val="center"/>
          </w:tcPr>
          <w:p>
            <w:r>
              <w:t xml:space="preserve"/>
            </w:r>
          </w:p>
        </w:tc>
      </w:tr>
      <w:tr>
        <w:trPr>
          <w:trHeight w:val="540" w:hRule="atLeast"/>
        </w:trPr>
        <w:tc>
          <w:tcPr>
            <w:tcW w:type="dxa" w:w="3200"/>
            <w:tcBorders>
              <w:top w:val="single" w:color="DCE1E8" w:sz="2"/>
              <w:left w:val="single" w:color="DCE1E8" w:sz="2"/>
              <w:bottom w:val="single" w:color="DCE1E8" w:sz="2"/>
              <w:right w:val="single" w:color="DCE1E8" w:sz="2"/>
            </w:tcBorders>
            <w:shd w:fill="EDF0F4" w:val="clear"/>
            <w:tcMar>
              <w:top w:type="dxa" w:w="70"/>
              <w:left w:type="dxa" w:w="130"/>
              <w:bottom w:type="dxa" w:w="70"/>
              <w:right w:type="dxa" w:w="130"/>
            </w:tcMar>
            <w:vAlign w:val="center"/>
          </w:tcPr>
          <w:p>
            <w:r>
              <w:rPr>
                <w:b/>
                <w:bCs/>
                <w:color w:val="16243A"/>
                <w:sz w:val="19"/>
                <w:szCs w:val="19"/>
              </w:rPr>
              <w:t xml:space="preserve">Adresse / siège social</w:t>
            </w:r>
          </w:p>
        </w:tc>
        <w:tc>
          <w:tcPr>
            <w:tcW w:type="dxa" w:w="5826"/>
            <w:tcBorders>
              <w:top w:val="single" w:color="DCE1E8" w:sz="2"/>
              <w:left w:val="single" w:color="DCE1E8" w:sz="2"/>
              <w:bottom w:val="single" w:color="DCE1E8" w:sz="2"/>
              <w:right w:val="single" w:color="DCE1E8" w:sz="2"/>
            </w:tcBorders>
            <w:tcMar>
              <w:top w:type="dxa" w:w="70"/>
              <w:left w:type="dxa" w:w="130"/>
              <w:bottom w:type="dxa" w:w="70"/>
              <w:right w:type="dxa" w:w="130"/>
            </w:tcMar>
            <w:vAlign w:val="center"/>
          </w:tcPr>
          <w:p>
            <w:r>
              <w:t xml:space="preserve"/>
            </w:r>
          </w:p>
        </w:tc>
      </w:tr>
      <w:tr>
        <w:trPr>
          <w:trHeight w:val="540" w:hRule="atLeast"/>
        </w:trPr>
        <w:tc>
          <w:tcPr>
            <w:tcW w:type="dxa" w:w="3200"/>
            <w:tcBorders>
              <w:top w:val="single" w:color="DCE1E8" w:sz="2"/>
              <w:left w:val="single" w:color="DCE1E8" w:sz="2"/>
              <w:bottom w:val="single" w:color="DCE1E8" w:sz="2"/>
              <w:right w:val="single" w:color="DCE1E8" w:sz="2"/>
            </w:tcBorders>
            <w:shd w:fill="EDF0F4" w:val="clear"/>
            <w:tcMar>
              <w:top w:type="dxa" w:w="70"/>
              <w:left w:type="dxa" w:w="130"/>
              <w:bottom w:type="dxa" w:w="70"/>
              <w:right w:type="dxa" w:w="130"/>
            </w:tcMar>
            <w:vAlign w:val="center"/>
          </w:tcPr>
          <w:p>
            <w:r>
              <w:rPr>
                <w:b/>
                <w:bCs/>
                <w:color w:val="16243A"/>
                <w:sz w:val="19"/>
                <w:szCs w:val="19"/>
              </w:rPr>
              <w:t xml:space="preserve">Qualité (personne physique / morale)</w:t>
            </w:r>
          </w:p>
        </w:tc>
        <w:tc>
          <w:tcPr>
            <w:tcW w:type="dxa" w:w="5826"/>
            <w:tcBorders>
              <w:top w:val="single" w:color="DCE1E8" w:sz="2"/>
              <w:left w:val="single" w:color="DCE1E8" w:sz="2"/>
              <w:bottom w:val="single" w:color="DCE1E8" w:sz="2"/>
              <w:right w:val="single" w:color="DCE1E8" w:sz="2"/>
            </w:tcBorders>
            <w:tcMar>
              <w:top w:type="dxa" w:w="70"/>
              <w:left w:type="dxa" w:w="130"/>
              <w:bottom w:type="dxa" w:w="70"/>
              <w:right w:type="dxa" w:w="130"/>
            </w:tcMar>
            <w:vAlign w:val="center"/>
          </w:tcPr>
          <w:p>
            <w:r>
              <w:t xml:space="preserve"/>
            </w:r>
          </w:p>
        </w:tc>
      </w:tr>
      <w:tr>
        <w:trPr>
          <w:trHeight w:val="540" w:hRule="atLeast"/>
        </w:trPr>
        <w:tc>
          <w:tcPr>
            <w:tcW w:type="dxa" w:w="3200"/>
            <w:tcBorders>
              <w:top w:val="single" w:color="DCE1E8" w:sz="2"/>
              <w:left w:val="single" w:color="DCE1E8" w:sz="2"/>
              <w:bottom w:val="single" w:color="DCE1E8" w:sz="2"/>
              <w:right w:val="single" w:color="DCE1E8" w:sz="2"/>
            </w:tcBorders>
            <w:shd w:fill="EDF0F4" w:val="clear"/>
            <w:tcMar>
              <w:top w:type="dxa" w:w="70"/>
              <w:left w:type="dxa" w:w="130"/>
              <w:bottom w:type="dxa" w:w="70"/>
              <w:right w:type="dxa" w:w="130"/>
            </w:tcMar>
            <w:vAlign w:val="center"/>
          </w:tcPr>
          <w:p>
            <w:r>
              <w:rPr>
                <w:b/>
                <w:bCs/>
                <w:color w:val="16243A"/>
                <w:sz w:val="19"/>
                <w:szCs w:val="19"/>
              </w:rPr>
              <w:t xml:space="preserve">Le cas échéant, représentant légal</w:t>
            </w:r>
          </w:p>
        </w:tc>
        <w:tc>
          <w:tcPr>
            <w:tcW w:type="dxa" w:w="5826"/>
            <w:tcBorders>
              <w:top w:val="single" w:color="DCE1E8" w:sz="2"/>
              <w:left w:val="single" w:color="DCE1E8" w:sz="2"/>
              <w:bottom w:val="single" w:color="DCE1E8" w:sz="2"/>
              <w:right w:val="single" w:color="DCE1E8" w:sz="2"/>
            </w:tcBorders>
            <w:tcMar>
              <w:top w:type="dxa" w:w="70"/>
              <w:left w:type="dxa" w:w="130"/>
              <w:bottom w:type="dxa" w:w="70"/>
              <w:right w:type="dxa" w:w="130"/>
            </w:tcMar>
            <w:vAlign w:val="center"/>
          </w:tcPr>
          <w:p>
            <w:r>
              <w:t xml:space="preserve"/>
            </w:r>
          </w:p>
        </w:tc>
      </w:tr>
    </w:tbl>
    <w:p>
      <w:pPr>
        <w:spacing w:after="160" w:before="90" w:line="288"/>
      </w:pPr>
      <w:r>
        <w:rPr>
          <w:i/>
          <w:iCs/>
          <w:color w:val="6B7280"/>
        </w:rPr>
        <w:t xml:space="preserve">Ci-après dénommé « le bailleur ».</w:t>
      </w:r>
    </w:p>
    <w:p>
      <w:pPr>
        <w:pBdr>
          <w:bottom w:val="single" w:color="B0832F" w:sz="4" w:space="3"/>
        </w:pBdr>
        <w:spacing w:after="70" w:before="160"/>
      </w:pPr>
      <w:r>
        <w:rPr>
          <w:rFonts w:ascii="Georgia" w:cs="Georgia" w:eastAsia="Georgia" w:hAnsi="Georgia"/>
          <w:b/>
          <w:bCs/>
          <w:color w:val="16243A"/>
          <w:sz w:val="22"/>
          <w:szCs w:val="22"/>
        </w:rPr>
        <w:t xml:space="preserve">Le preneur</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200"/>
        <w:gridCol w:w="5826"/>
      </w:tblGrid>
      <w:tr>
        <w:trPr>
          <w:trHeight w:val="540" w:hRule="atLeast"/>
        </w:trPr>
        <w:tc>
          <w:tcPr>
            <w:tcW w:type="dxa" w:w="3200"/>
            <w:tcBorders>
              <w:top w:val="single" w:color="DCE1E8" w:sz="2"/>
              <w:left w:val="single" w:color="DCE1E8" w:sz="2"/>
              <w:bottom w:val="single" w:color="DCE1E8" w:sz="2"/>
              <w:right w:val="single" w:color="DCE1E8" w:sz="2"/>
            </w:tcBorders>
            <w:shd w:fill="EDF0F4" w:val="clear"/>
            <w:tcMar>
              <w:top w:type="dxa" w:w="70"/>
              <w:left w:type="dxa" w:w="130"/>
              <w:bottom w:type="dxa" w:w="70"/>
              <w:right w:type="dxa" w:w="130"/>
            </w:tcMar>
            <w:vAlign w:val="center"/>
          </w:tcPr>
          <w:p>
            <w:r>
              <w:rPr>
                <w:b/>
                <w:bCs/>
                <w:color w:val="16243A"/>
                <w:sz w:val="19"/>
                <w:szCs w:val="19"/>
              </w:rPr>
              <w:t xml:space="preserve">Nom et prénom / dénomination</w:t>
            </w:r>
          </w:p>
        </w:tc>
        <w:tc>
          <w:tcPr>
            <w:tcW w:type="dxa" w:w="5826"/>
            <w:tcBorders>
              <w:top w:val="single" w:color="DCE1E8" w:sz="2"/>
              <w:left w:val="single" w:color="DCE1E8" w:sz="2"/>
              <w:bottom w:val="single" w:color="DCE1E8" w:sz="2"/>
              <w:right w:val="single" w:color="DCE1E8" w:sz="2"/>
            </w:tcBorders>
            <w:tcMar>
              <w:top w:type="dxa" w:w="70"/>
              <w:left w:type="dxa" w:w="130"/>
              <w:bottom w:type="dxa" w:w="70"/>
              <w:right w:type="dxa" w:w="130"/>
            </w:tcMar>
            <w:vAlign w:val="center"/>
          </w:tcPr>
          <w:p>
            <w:r>
              <w:t xml:space="preserve"/>
            </w:r>
          </w:p>
        </w:tc>
      </w:tr>
      <w:tr>
        <w:trPr>
          <w:trHeight w:val="540" w:hRule="atLeast"/>
        </w:trPr>
        <w:tc>
          <w:tcPr>
            <w:tcW w:type="dxa" w:w="3200"/>
            <w:tcBorders>
              <w:top w:val="single" w:color="DCE1E8" w:sz="2"/>
              <w:left w:val="single" w:color="DCE1E8" w:sz="2"/>
              <w:bottom w:val="single" w:color="DCE1E8" w:sz="2"/>
              <w:right w:val="single" w:color="DCE1E8" w:sz="2"/>
            </w:tcBorders>
            <w:shd w:fill="EDF0F4" w:val="clear"/>
            <w:tcMar>
              <w:top w:type="dxa" w:w="70"/>
              <w:left w:type="dxa" w:w="130"/>
              <w:bottom w:type="dxa" w:w="70"/>
              <w:right w:type="dxa" w:w="130"/>
            </w:tcMar>
            <w:vAlign w:val="center"/>
          </w:tcPr>
          <w:p>
            <w:r>
              <w:rPr>
                <w:b/>
                <w:bCs/>
                <w:color w:val="16243A"/>
                <w:sz w:val="19"/>
                <w:szCs w:val="19"/>
              </w:rPr>
              <w:t xml:space="preserve">Profession libérale exercée</w:t>
            </w:r>
          </w:p>
        </w:tc>
        <w:tc>
          <w:tcPr>
            <w:tcW w:type="dxa" w:w="5826"/>
            <w:tcBorders>
              <w:top w:val="single" w:color="DCE1E8" w:sz="2"/>
              <w:left w:val="single" w:color="DCE1E8" w:sz="2"/>
              <w:bottom w:val="single" w:color="DCE1E8" w:sz="2"/>
              <w:right w:val="single" w:color="DCE1E8" w:sz="2"/>
            </w:tcBorders>
            <w:tcMar>
              <w:top w:type="dxa" w:w="70"/>
              <w:left w:type="dxa" w:w="130"/>
              <w:bottom w:type="dxa" w:w="70"/>
              <w:right w:type="dxa" w:w="130"/>
            </w:tcMar>
            <w:vAlign w:val="center"/>
          </w:tcPr>
          <w:p>
            <w:r>
              <w:t xml:space="preserve"/>
            </w:r>
          </w:p>
        </w:tc>
      </w:tr>
      <w:tr>
        <w:trPr>
          <w:trHeight w:val="540" w:hRule="atLeast"/>
        </w:trPr>
        <w:tc>
          <w:tcPr>
            <w:tcW w:type="dxa" w:w="3200"/>
            <w:tcBorders>
              <w:top w:val="single" w:color="DCE1E8" w:sz="2"/>
              <w:left w:val="single" w:color="DCE1E8" w:sz="2"/>
              <w:bottom w:val="single" w:color="DCE1E8" w:sz="2"/>
              <w:right w:val="single" w:color="DCE1E8" w:sz="2"/>
            </w:tcBorders>
            <w:shd w:fill="EDF0F4" w:val="clear"/>
            <w:tcMar>
              <w:top w:type="dxa" w:w="70"/>
              <w:left w:type="dxa" w:w="130"/>
              <w:bottom w:type="dxa" w:w="70"/>
              <w:right w:type="dxa" w:w="130"/>
            </w:tcMar>
            <w:vAlign w:val="center"/>
          </w:tcPr>
          <w:p>
            <w:r>
              <w:rPr>
                <w:b/>
                <w:bCs/>
                <w:color w:val="16243A"/>
                <w:sz w:val="19"/>
                <w:szCs w:val="19"/>
              </w:rPr>
              <w:t xml:space="preserve">Adresse / siège</w:t>
            </w:r>
          </w:p>
        </w:tc>
        <w:tc>
          <w:tcPr>
            <w:tcW w:type="dxa" w:w="5826"/>
            <w:tcBorders>
              <w:top w:val="single" w:color="DCE1E8" w:sz="2"/>
              <w:left w:val="single" w:color="DCE1E8" w:sz="2"/>
              <w:bottom w:val="single" w:color="DCE1E8" w:sz="2"/>
              <w:right w:val="single" w:color="DCE1E8" w:sz="2"/>
            </w:tcBorders>
            <w:tcMar>
              <w:top w:type="dxa" w:w="70"/>
              <w:left w:type="dxa" w:w="130"/>
              <w:bottom w:type="dxa" w:w="70"/>
              <w:right w:type="dxa" w:w="130"/>
            </w:tcMar>
            <w:vAlign w:val="center"/>
          </w:tcPr>
          <w:p>
            <w:r>
              <w:t xml:space="preserve"/>
            </w:r>
          </w:p>
        </w:tc>
      </w:tr>
      <w:tr>
        <w:trPr>
          <w:trHeight w:val="540" w:hRule="atLeast"/>
        </w:trPr>
        <w:tc>
          <w:tcPr>
            <w:tcW w:type="dxa" w:w="3200"/>
            <w:tcBorders>
              <w:top w:val="single" w:color="DCE1E8" w:sz="2"/>
              <w:left w:val="single" w:color="DCE1E8" w:sz="2"/>
              <w:bottom w:val="single" w:color="DCE1E8" w:sz="2"/>
              <w:right w:val="single" w:color="DCE1E8" w:sz="2"/>
            </w:tcBorders>
            <w:shd w:fill="EDF0F4" w:val="clear"/>
            <w:tcMar>
              <w:top w:type="dxa" w:w="70"/>
              <w:left w:type="dxa" w:w="130"/>
              <w:bottom w:type="dxa" w:w="70"/>
              <w:right w:type="dxa" w:w="130"/>
            </w:tcMar>
            <w:vAlign w:val="center"/>
          </w:tcPr>
          <w:p>
            <w:r>
              <w:rPr>
                <w:b/>
                <w:bCs/>
                <w:color w:val="16243A"/>
                <w:sz w:val="19"/>
                <w:szCs w:val="19"/>
              </w:rPr>
              <w:t xml:space="preserve">N° d'inscription à l'ordre / immatriculation</w:t>
            </w:r>
          </w:p>
        </w:tc>
        <w:tc>
          <w:tcPr>
            <w:tcW w:type="dxa" w:w="5826"/>
            <w:tcBorders>
              <w:top w:val="single" w:color="DCE1E8" w:sz="2"/>
              <w:left w:val="single" w:color="DCE1E8" w:sz="2"/>
              <w:bottom w:val="single" w:color="DCE1E8" w:sz="2"/>
              <w:right w:val="single" w:color="DCE1E8" w:sz="2"/>
            </w:tcBorders>
            <w:tcMar>
              <w:top w:type="dxa" w:w="70"/>
              <w:left w:type="dxa" w:w="130"/>
              <w:bottom w:type="dxa" w:w="70"/>
              <w:right w:type="dxa" w:w="130"/>
            </w:tcMar>
            <w:vAlign w:val="center"/>
          </w:tcPr>
          <w:p>
            <w:r>
              <w:t xml:space="preserve"/>
            </w:r>
          </w:p>
        </w:tc>
      </w:tr>
    </w:tbl>
    <w:p>
      <w:pPr>
        <w:spacing w:after="120" w:before="90" w:line="288"/>
      </w:pPr>
      <w:r>
        <w:rPr>
          <w:i/>
          <w:iCs/>
          <w:color w:val="6B7280"/>
        </w:rPr>
        <w:t xml:space="preserve">Ci-après dénommé « le preneur ».</w:t>
      </w:r>
    </w:p>
    <w:p>
      <w:pPr>
        <w:spacing w:after="160" w:before="0" w:line="288"/>
      </w:pPr>
      <w:r>
        <w:rPr>
          <w:b/>
          <w:bCs/>
          <w:color w:val="16243A"/>
        </w:rPr>
        <w:t xml:space="preserve">Il a été convenu ce qui suit.</w:t>
      </w:r>
    </w:p>
    <w:p>
      <w:pPr>
        <w:shd w:fill="16243A" w:val="clear"/>
        <w:spacing w:after="140" w:before="280" w:line="360"/>
        <w:ind w:left="140" w:right="140"/>
      </w:pPr>
      <w:r>
        <w:rPr>
          <w:rFonts w:ascii="Georgia" w:cs="Georgia" w:eastAsia="Georgia" w:hAnsi="Georgia"/>
          <w:b/>
          <w:bCs/>
          <w:color w:val="B0832F"/>
          <w:sz w:val="24"/>
          <w:szCs w:val="24"/>
        </w:rPr>
        <w:t xml:space="preserve">Article 1   </w:t>
      </w:r>
      <w:r>
        <w:rPr>
          <w:rFonts w:ascii="Georgia" w:cs="Georgia" w:eastAsia="Georgia" w:hAnsi="Georgia"/>
          <w:b/>
          <w:bCs/>
          <w:color w:val="FFFFFF"/>
          <w:sz w:val="24"/>
          <w:szCs w:val="24"/>
        </w:rPr>
        <w:t xml:space="preserve">Désignation des locaux</w:t>
      </w:r>
    </w:p>
    <w:p>
      <w:pPr>
        <w:spacing w:after="120" w:before="0" w:line="288"/>
      </w:pPr>
      <w:r>
        <w:t xml:space="preserve">Le bailleur loue au preneur, qui accepte, les locaux ci-après désignés, soumis au statut des baux professionnels (article 57 A de la loi du 23 décembre 1986).</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200"/>
        <w:gridCol w:w="5826"/>
      </w:tblGrid>
      <w:tr>
        <w:trPr>
          <w:trHeight w:val="540" w:hRule="atLeast"/>
        </w:trPr>
        <w:tc>
          <w:tcPr>
            <w:tcW w:type="dxa" w:w="3200"/>
            <w:tcBorders>
              <w:top w:val="single" w:color="DCE1E8" w:sz="2"/>
              <w:left w:val="single" w:color="DCE1E8" w:sz="2"/>
              <w:bottom w:val="single" w:color="DCE1E8" w:sz="2"/>
              <w:right w:val="single" w:color="DCE1E8" w:sz="2"/>
            </w:tcBorders>
            <w:shd w:fill="EDF0F4" w:val="clear"/>
            <w:tcMar>
              <w:top w:type="dxa" w:w="70"/>
              <w:left w:type="dxa" w:w="130"/>
              <w:bottom w:type="dxa" w:w="70"/>
              <w:right w:type="dxa" w:w="130"/>
            </w:tcMar>
            <w:vAlign w:val="center"/>
          </w:tcPr>
          <w:p>
            <w:r>
              <w:rPr>
                <w:b/>
                <w:bCs/>
                <w:color w:val="16243A"/>
                <w:sz w:val="19"/>
                <w:szCs w:val="19"/>
              </w:rPr>
              <w:t xml:space="preserve">Adresse des locaux</w:t>
            </w:r>
          </w:p>
        </w:tc>
        <w:tc>
          <w:tcPr>
            <w:tcW w:type="dxa" w:w="5826"/>
            <w:tcBorders>
              <w:top w:val="single" w:color="DCE1E8" w:sz="2"/>
              <w:left w:val="single" w:color="DCE1E8" w:sz="2"/>
              <w:bottom w:val="single" w:color="DCE1E8" w:sz="2"/>
              <w:right w:val="single" w:color="DCE1E8" w:sz="2"/>
            </w:tcBorders>
            <w:tcMar>
              <w:top w:type="dxa" w:w="70"/>
              <w:left w:type="dxa" w:w="130"/>
              <w:bottom w:type="dxa" w:w="70"/>
              <w:right w:type="dxa" w:w="130"/>
            </w:tcMar>
            <w:vAlign w:val="center"/>
          </w:tcPr>
          <w:p>
            <w:r>
              <w:t xml:space="preserve"/>
            </w:r>
          </w:p>
        </w:tc>
      </w:tr>
      <w:tr>
        <w:trPr>
          <w:trHeight w:val="540" w:hRule="atLeast"/>
        </w:trPr>
        <w:tc>
          <w:tcPr>
            <w:tcW w:type="dxa" w:w="3200"/>
            <w:tcBorders>
              <w:top w:val="single" w:color="DCE1E8" w:sz="2"/>
              <w:left w:val="single" w:color="DCE1E8" w:sz="2"/>
              <w:bottom w:val="single" w:color="DCE1E8" w:sz="2"/>
              <w:right w:val="single" w:color="DCE1E8" w:sz="2"/>
            </w:tcBorders>
            <w:shd w:fill="EDF0F4" w:val="clear"/>
            <w:tcMar>
              <w:top w:type="dxa" w:w="70"/>
              <w:left w:type="dxa" w:w="130"/>
              <w:bottom w:type="dxa" w:w="70"/>
              <w:right w:type="dxa" w:w="130"/>
            </w:tcMar>
            <w:vAlign w:val="center"/>
          </w:tcPr>
          <w:p>
            <w:r>
              <w:rPr>
                <w:b/>
                <w:bCs/>
                <w:color w:val="16243A"/>
                <w:sz w:val="19"/>
                <w:szCs w:val="19"/>
              </w:rPr>
              <w:t xml:space="preserve">Désignation (étage, n° de porte, dépendances)</w:t>
            </w:r>
          </w:p>
        </w:tc>
        <w:tc>
          <w:tcPr>
            <w:tcW w:type="dxa" w:w="5826"/>
            <w:tcBorders>
              <w:top w:val="single" w:color="DCE1E8" w:sz="2"/>
              <w:left w:val="single" w:color="DCE1E8" w:sz="2"/>
              <w:bottom w:val="single" w:color="DCE1E8" w:sz="2"/>
              <w:right w:val="single" w:color="DCE1E8" w:sz="2"/>
            </w:tcBorders>
            <w:tcMar>
              <w:top w:type="dxa" w:w="70"/>
              <w:left w:type="dxa" w:w="130"/>
              <w:bottom w:type="dxa" w:w="70"/>
              <w:right w:type="dxa" w:w="130"/>
            </w:tcMar>
            <w:vAlign w:val="center"/>
          </w:tcPr>
          <w:p>
            <w:r>
              <w:t xml:space="preserve"/>
            </w:r>
          </w:p>
        </w:tc>
      </w:tr>
      <w:tr>
        <w:trPr>
          <w:trHeight w:val="540" w:hRule="atLeast"/>
        </w:trPr>
        <w:tc>
          <w:tcPr>
            <w:tcW w:type="dxa" w:w="3200"/>
            <w:tcBorders>
              <w:top w:val="single" w:color="DCE1E8" w:sz="2"/>
              <w:left w:val="single" w:color="DCE1E8" w:sz="2"/>
              <w:bottom w:val="single" w:color="DCE1E8" w:sz="2"/>
              <w:right w:val="single" w:color="DCE1E8" w:sz="2"/>
            </w:tcBorders>
            <w:shd w:fill="EDF0F4" w:val="clear"/>
            <w:tcMar>
              <w:top w:type="dxa" w:w="70"/>
              <w:left w:type="dxa" w:w="130"/>
              <w:bottom w:type="dxa" w:w="70"/>
              <w:right w:type="dxa" w:w="130"/>
            </w:tcMar>
            <w:vAlign w:val="center"/>
          </w:tcPr>
          <w:p>
            <w:r>
              <w:rPr>
                <w:b/>
                <w:bCs/>
                <w:color w:val="16243A"/>
                <w:sz w:val="19"/>
                <w:szCs w:val="19"/>
              </w:rPr>
              <w:t xml:space="preserve">Surface (m²)</w:t>
            </w:r>
          </w:p>
        </w:tc>
        <w:tc>
          <w:tcPr>
            <w:tcW w:type="dxa" w:w="5826"/>
            <w:tcBorders>
              <w:top w:val="single" w:color="DCE1E8" w:sz="2"/>
              <w:left w:val="single" w:color="DCE1E8" w:sz="2"/>
              <w:bottom w:val="single" w:color="DCE1E8" w:sz="2"/>
              <w:right w:val="single" w:color="DCE1E8" w:sz="2"/>
            </w:tcBorders>
            <w:tcMar>
              <w:top w:type="dxa" w:w="70"/>
              <w:left w:type="dxa" w:w="130"/>
              <w:bottom w:type="dxa" w:w="70"/>
              <w:right w:type="dxa" w:w="130"/>
            </w:tcMar>
            <w:vAlign w:val="center"/>
          </w:tcPr>
          <w:p>
            <w:r>
              <w:t xml:space="preserve"/>
            </w:r>
          </w:p>
        </w:tc>
      </w:tr>
      <w:tr>
        <w:trPr>
          <w:trHeight w:val="540" w:hRule="atLeast"/>
        </w:trPr>
        <w:tc>
          <w:tcPr>
            <w:tcW w:type="dxa" w:w="3200"/>
            <w:tcBorders>
              <w:top w:val="single" w:color="DCE1E8" w:sz="2"/>
              <w:left w:val="single" w:color="DCE1E8" w:sz="2"/>
              <w:bottom w:val="single" w:color="DCE1E8" w:sz="2"/>
              <w:right w:val="single" w:color="DCE1E8" w:sz="2"/>
            </w:tcBorders>
            <w:shd w:fill="EDF0F4" w:val="clear"/>
            <w:tcMar>
              <w:top w:type="dxa" w:w="70"/>
              <w:left w:type="dxa" w:w="130"/>
              <w:bottom w:type="dxa" w:w="70"/>
              <w:right w:type="dxa" w:w="130"/>
            </w:tcMar>
            <w:vAlign w:val="center"/>
          </w:tcPr>
          <w:p>
            <w:r>
              <w:rPr>
                <w:b/>
                <w:bCs/>
                <w:color w:val="16243A"/>
                <w:sz w:val="19"/>
                <w:szCs w:val="19"/>
              </w:rPr>
              <w:t xml:space="preserve">Locaux et équipements accessoires</w:t>
            </w:r>
          </w:p>
        </w:tc>
        <w:tc>
          <w:tcPr>
            <w:tcW w:type="dxa" w:w="5826"/>
            <w:tcBorders>
              <w:top w:val="single" w:color="DCE1E8" w:sz="2"/>
              <w:left w:val="single" w:color="DCE1E8" w:sz="2"/>
              <w:bottom w:val="single" w:color="DCE1E8" w:sz="2"/>
              <w:right w:val="single" w:color="DCE1E8" w:sz="2"/>
            </w:tcBorders>
            <w:tcMar>
              <w:top w:type="dxa" w:w="70"/>
              <w:left w:type="dxa" w:w="130"/>
              <w:bottom w:type="dxa" w:w="70"/>
              <w:right w:type="dxa" w:w="130"/>
            </w:tcMar>
            <w:vAlign w:val="center"/>
          </w:tcPr>
          <w:p>
            <w:r>
              <w:t xml:space="preserve"/>
            </w:r>
          </w:p>
        </w:tc>
      </w:tr>
      <w:tr>
        <w:trPr>
          <w:trHeight w:val="540" w:hRule="atLeast"/>
        </w:trPr>
        <w:tc>
          <w:tcPr>
            <w:tcW w:type="dxa" w:w="3200"/>
            <w:tcBorders>
              <w:top w:val="single" w:color="DCE1E8" w:sz="2"/>
              <w:left w:val="single" w:color="DCE1E8" w:sz="2"/>
              <w:bottom w:val="single" w:color="DCE1E8" w:sz="2"/>
              <w:right w:val="single" w:color="DCE1E8" w:sz="2"/>
            </w:tcBorders>
            <w:shd w:fill="EDF0F4" w:val="clear"/>
            <w:tcMar>
              <w:top w:type="dxa" w:w="70"/>
              <w:left w:type="dxa" w:w="130"/>
              <w:bottom w:type="dxa" w:w="70"/>
              <w:right w:type="dxa" w:w="130"/>
            </w:tcMar>
            <w:vAlign w:val="center"/>
          </w:tcPr>
          <w:p>
            <w:r>
              <w:rPr>
                <w:b/>
                <w:bCs/>
                <w:color w:val="16243A"/>
                <w:sz w:val="19"/>
                <w:szCs w:val="19"/>
              </w:rPr>
              <w:t xml:space="preserve">Régime (copropriété / monopropriété)</w:t>
            </w:r>
          </w:p>
        </w:tc>
        <w:tc>
          <w:tcPr>
            <w:tcW w:type="dxa" w:w="5826"/>
            <w:tcBorders>
              <w:top w:val="single" w:color="DCE1E8" w:sz="2"/>
              <w:left w:val="single" w:color="DCE1E8" w:sz="2"/>
              <w:bottom w:val="single" w:color="DCE1E8" w:sz="2"/>
              <w:right w:val="single" w:color="DCE1E8" w:sz="2"/>
            </w:tcBorders>
            <w:tcMar>
              <w:top w:type="dxa" w:w="70"/>
              <w:left w:type="dxa" w:w="130"/>
              <w:bottom w:type="dxa" w:w="70"/>
              <w:right w:type="dxa" w:w="130"/>
            </w:tcMar>
            <w:vAlign w:val="center"/>
          </w:tcPr>
          <w:p>
            <w:r>
              <w:t xml:space="preserve"/>
            </w:r>
          </w:p>
        </w:tc>
      </w:tr>
    </w:tbl>
    <w:p>
      <w:pPr>
        <w:shd w:fill="16243A" w:val="clear"/>
        <w:spacing w:after="140" w:before="280" w:line="360"/>
        <w:ind w:left="140" w:right="140"/>
      </w:pPr>
      <w:r>
        <w:rPr>
          <w:rFonts w:ascii="Georgia" w:cs="Georgia" w:eastAsia="Georgia" w:hAnsi="Georgia"/>
          <w:b/>
          <w:bCs/>
          <w:color w:val="B0832F"/>
          <w:sz w:val="24"/>
          <w:szCs w:val="24"/>
        </w:rPr>
        <w:t xml:space="preserve">Article 2   </w:t>
      </w:r>
      <w:r>
        <w:rPr>
          <w:rFonts w:ascii="Georgia" w:cs="Georgia" w:eastAsia="Georgia" w:hAnsi="Georgia"/>
          <w:b/>
          <w:bCs/>
          <w:color w:val="FFFFFF"/>
          <w:sz w:val="24"/>
          <w:szCs w:val="24"/>
        </w:rPr>
        <w:t xml:space="preserve">Destination des lieux</w:t>
      </w:r>
    </w:p>
    <w:p>
      <w:pPr>
        <w:spacing w:after="120" w:before="0" w:line="288"/>
      </w:pPr>
      <w:r>
        <w:t xml:space="preserve">Les locaux sont loués pour un usage </w:t>
      </w:r>
      <w:r>
        <w:rPr>
          <w:b/>
          <w:bCs/>
          <w:color w:val="16243A"/>
        </w:rPr>
        <w:t xml:space="preserve">exclusivement professionnel</w:t>
      </w:r>
      <w:r>
        <w:t xml:space="preserve">, aux fins de l'exercice de la profession libérale du preneur, à l'exclusion de toute activité commerciale, artisanale ou d'habitation.</w:t>
      </w:r>
    </w:p>
    <w:p>
      <w:pPr>
        <w:spacing w:after="120" w:before="0" w:line="288"/>
      </w:pPr>
      <w:r>
        <w:rPr>
          <w:b/>
          <w:bCs/>
          <w:color w:val="16243A"/>
        </w:rPr>
        <w:t xml:space="preserve">Profession autorisée : </w:t>
      </w:r>
      <w:r>
        <w:rPr>
          <w:u w:val="single" w:color="9AA3AE"/>
        </w:rPr>
        <w:t xml:space="preserve">                </w:t>
      </w:r>
    </w:p>
    <w:p>
      <w:pPr>
        <w:shd w:fill="16243A" w:val="clear"/>
        <w:spacing w:after="140" w:before="280" w:line="360"/>
        <w:ind w:left="140" w:right="140"/>
      </w:pPr>
      <w:r>
        <w:rPr>
          <w:rFonts w:ascii="Georgia" w:cs="Georgia" w:eastAsia="Georgia" w:hAnsi="Georgia"/>
          <w:b/>
          <w:bCs/>
          <w:color w:val="B0832F"/>
          <w:sz w:val="24"/>
          <w:szCs w:val="24"/>
        </w:rPr>
        <w:t xml:space="preserve">Article 3   </w:t>
      </w:r>
      <w:r>
        <w:rPr>
          <w:rFonts w:ascii="Georgia" w:cs="Georgia" w:eastAsia="Georgia" w:hAnsi="Georgia"/>
          <w:b/>
          <w:bCs/>
          <w:color w:val="FFFFFF"/>
          <w:sz w:val="24"/>
          <w:szCs w:val="24"/>
        </w:rPr>
        <w:t xml:space="preserve">Durée</w:t>
      </w:r>
    </w:p>
    <w:p>
      <w:pPr>
        <w:spacing w:after="120" w:before="0" w:line="288"/>
      </w:pPr>
      <w:r>
        <w:t xml:space="preserve">Le bail est conclu pour une durée minimale de </w:t>
      </w:r>
      <w:r>
        <w:rPr>
          <w:b/>
          <w:bCs/>
          <w:color w:val="16243A"/>
        </w:rPr>
        <w:t xml:space="preserve">six (6) ans</w:t>
      </w:r>
      <w:r>
        <w:t xml:space="preserve">, à compter du </w:t>
      </w:r>
      <w:r>
        <w:rPr>
          <w:u w:val="single" w:color="9AA3AE"/>
        </w:rPr>
        <w:t xml:space="preserve">                </w:t>
      </w:r>
      <w:r>
        <w:t xml:space="preserve">. À son terme, il se renouvelle dans les conditions prévues par la loi et le présent contrat.</w:t>
      </w:r>
    </w:p>
    <w:p>
      <w:pPr>
        <w:shd w:fill="16243A" w:val="clear"/>
        <w:spacing w:after="140" w:before="280" w:line="360"/>
        <w:ind w:left="140" w:right="140"/>
      </w:pPr>
      <w:r>
        <w:rPr>
          <w:rFonts w:ascii="Georgia" w:cs="Georgia" w:eastAsia="Georgia" w:hAnsi="Georgia"/>
          <w:b/>
          <w:bCs/>
          <w:color w:val="B0832F"/>
          <w:sz w:val="24"/>
          <w:szCs w:val="24"/>
        </w:rPr>
        <w:t xml:space="preserve">Article 4   </w:t>
      </w:r>
      <w:r>
        <w:rPr>
          <w:rFonts w:ascii="Georgia" w:cs="Georgia" w:eastAsia="Georgia" w:hAnsi="Georgia"/>
          <w:b/>
          <w:bCs/>
          <w:color w:val="FFFFFF"/>
          <w:sz w:val="24"/>
          <w:szCs w:val="24"/>
        </w:rPr>
        <w:t xml:space="preserve">Loyer</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200"/>
        <w:gridCol w:w="5826"/>
      </w:tblGrid>
      <w:tr>
        <w:trPr>
          <w:trHeight w:val="540" w:hRule="atLeast"/>
        </w:trPr>
        <w:tc>
          <w:tcPr>
            <w:tcW w:type="dxa" w:w="3200"/>
            <w:tcBorders>
              <w:top w:val="single" w:color="DCE1E8" w:sz="2"/>
              <w:left w:val="single" w:color="DCE1E8" w:sz="2"/>
              <w:bottom w:val="single" w:color="DCE1E8" w:sz="2"/>
              <w:right w:val="single" w:color="DCE1E8" w:sz="2"/>
            </w:tcBorders>
            <w:shd w:fill="EDF0F4" w:val="clear"/>
            <w:tcMar>
              <w:top w:type="dxa" w:w="70"/>
              <w:left w:type="dxa" w:w="130"/>
              <w:bottom w:type="dxa" w:w="70"/>
              <w:right w:type="dxa" w:w="130"/>
            </w:tcMar>
            <w:vAlign w:val="center"/>
          </w:tcPr>
          <w:p>
            <w:r>
              <w:rPr>
                <w:b/>
                <w:bCs/>
                <w:color w:val="16243A"/>
                <w:sz w:val="19"/>
                <w:szCs w:val="19"/>
              </w:rPr>
              <w:t xml:space="preserve">Loyer (montant et périodicité)</w:t>
            </w:r>
          </w:p>
        </w:tc>
        <w:tc>
          <w:tcPr>
            <w:tcW w:type="dxa" w:w="5826"/>
            <w:tcBorders>
              <w:top w:val="single" w:color="DCE1E8" w:sz="2"/>
              <w:left w:val="single" w:color="DCE1E8" w:sz="2"/>
              <w:bottom w:val="single" w:color="DCE1E8" w:sz="2"/>
              <w:right w:val="single" w:color="DCE1E8" w:sz="2"/>
            </w:tcBorders>
            <w:tcMar>
              <w:top w:type="dxa" w:w="70"/>
              <w:left w:type="dxa" w:w="130"/>
              <w:bottom w:type="dxa" w:w="70"/>
              <w:right w:type="dxa" w:w="130"/>
            </w:tcMar>
            <w:vAlign w:val="center"/>
          </w:tcPr>
          <w:p>
            <w:r>
              <w:t xml:space="preserve"/>
            </w:r>
          </w:p>
        </w:tc>
      </w:tr>
      <w:tr>
        <w:trPr>
          <w:trHeight w:val="540" w:hRule="atLeast"/>
        </w:trPr>
        <w:tc>
          <w:tcPr>
            <w:tcW w:type="dxa" w:w="3200"/>
            <w:tcBorders>
              <w:top w:val="single" w:color="DCE1E8" w:sz="2"/>
              <w:left w:val="single" w:color="DCE1E8" w:sz="2"/>
              <w:bottom w:val="single" w:color="DCE1E8" w:sz="2"/>
              <w:right w:val="single" w:color="DCE1E8" w:sz="2"/>
            </w:tcBorders>
            <w:shd w:fill="EDF0F4" w:val="clear"/>
            <w:tcMar>
              <w:top w:type="dxa" w:w="70"/>
              <w:left w:type="dxa" w:w="130"/>
              <w:bottom w:type="dxa" w:w="70"/>
              <w:right w:type="dxa" w:w="130"/>
            </w:tcMar>
            <w:vAlign w:val="center"/>
          </w:tcPr>
          <w:p>
            <w:r>
              <w:rPr>
                <w:b/>
                <w:bCs/>
                <w:color w:val="16243A"/>
                <w:sz w:val="19"/>
                <w:szCs w:val="19"/>
              </w:rPr>
              <w:t xml:space="preserve">Assujettissement à la TVA</w:t>
            </w:r>
          </w:p>
        </w:tc>
        <w:tc>
          <w:tcPr>
            <w:tcW w:type="dxa" w:w="5826"/>
            <w:tcBorders>
              <w:top w:val="single" w:color="DCE1E8" w:sz="2"/>
              <w:left w:val="single" w:color="DCE1E8" w:sz="2"/>
              <w:bottom w:val="single" w:color="DCE1E8" w:sz="2"/>
              <w:right w:val="single" w:color="DCE1E8" w:sz="2"/>
            </w:tcBorders>
            <w:tcMar>
              <w:top w:type="dxa" w:w="70"/>
              <w:left w:type="dxa" w:w="130"/>
              <w:bottom w:type="dxa" w:w="70"/>
              <w:right w:type="dxa" w:w="130"/>
            </w:tcMar>
            <w:vAlign w:val="center"/>
          </w:tcPr>
          <w:p>
            <w:r>
              <w:t xml:space="preserve"/>
            </w:r>
          </w:p>
        </w:tc>
      </w:tr>
      <w:tr>
        <w:trPr>
          <w:trHeight w:val="540" w:hRule="atLeast"/>
        </w:trPr>
        <w:tc>
          <w:tcPr>
            <w:tcW w:type="dxa" w:w="3200"/>
            <w:tcBorders>
              <w:top w:val="single" w:color="DCE1E8" w:sz="2"/>
              <w:left w:val="single" w:color="DCE1E8" w:sz="2"/>
              <w:bottom w:val="single" w:color="DCE1E8" w:sz="2"/>
              <w:right w:val="single" w:color="DCE1E8" w:sz="2"/>
            </w:tcBorders>
            <w:shd w:fill="EDF0F4" w:val="clear"/>
            <w:tcMar>
              <w:top w:type="dxa" w:w="70"/>
              <w:left w:type="dxa" w:w="130"/>
              <w:bottom w:type="dxa" w:w="70"/>
              <w:right w:type="dxa" w:w="130"/>
            </w:tcMar>
            <w:vAlign w:val="center"/>
          </w:tcPr>
          <w:p>
            <w:r>
              <w:rPr>
                <w:b/>
                <w:bCs/>
                <w:color w:val="16243A"/>
                <w:sz w:val="19"/>
                <w:szCs w:val="19"/>
              </w:rPr>
              <w:t xml:space="preserve">Modalités de paiement</w:t>
            </w:r>
          </w:p>
        </w:tc>
        <w:tc>
          <w:tcPr>
            <w:tcW w:type="dxa" w:w="5826"/>
            <w:tcBorders>
              <w:top w:val="single" w:color="DCE1E8" w:sz="2"/>
              <w:left w:val="single" w:color="DCE1E8" w:sz="2"/>
              <w:bottom w:val="single" w:color="DCE1E8" w:sz="2"/>
              <w:right w:val="single" w:color="DCE1E8" w:sz="2"/>
            </w:tcBorders>
            <w:tcMar>
              <w:top w:type="dxa" w:w="70"/>
              <w:left w:type="dxa" w:w="130"/>
              <w:bottom w:type="dxa" w:w="70"/>
              <w:right w:type="dxa" w:w="130"/>
            </w:tcMar>
            <w:vAlign w:val="center"/>
          </w:tcPr>
          <w:p>
            <w:r>
              <w:t xml:space="preserve"/>
            </w:r>
          </w:p>
        </w:tc>
      </w:tr>
    </w:tbl>
    <w:p>
      <w:pPr>
        <w:shd w:fill="16243A" w:val="clear"/>
        <w:spacing w:after="140" w:before="280" w:line="360"/>
        <w:ind w:left="140" w:right="140"/>
      </w:pPr>
      <w:r>
        <w:rPr>
          <w:rFonts w:ascii="Georgia" w:cs="Georgia" w:eastAsia="Georgia" w:hAnsi="Georgia"/>
          <w:b/>
          <w:bCs/>
          <w:color w:val="B0832F"/>
          <w:sz w:val="24"/>
          <w:szCs w:val="24"/>
        </w:rPr>
        <w:t xml:space="preserve">Article 5   </w:t>
      </w:r>
      <w:r>
        <w:rPr>
          <w:rFonts w:ascii="Georgia" w:cs="Georgia" w:eastAsia="Georgia" w:hAnsi="Georgia"/>
          <w:b/>
          <w:bCs/>
          <w:color w:val="FFFFFF"/>
          <w:sz w:val="24"/>
          <w:szCs w:val="24"/>
        </w:rPr>
        <w:t xml:space="preserve">Révision du loyer</w:t>
      </w:r>
    </w:p>
    <w:p>
      <w:pPr>
        <w:spacing w:after="120" w:before="0" w:line="288"/>
      </w:pPr>
      <w:r>
        <w:t xml:space="preserve">Le loyer est révisé selon la clause d'indexation convenue. Indice de référence : </w:t>
      </w:r>
      <w:r>
        <w:rPr>
          <w:u w:val="single" w:color="9AA3AE"/>
        </w:rPr>
        <w:t xml:space="preserve">                </w:t>
      </w:r>
      <w:r>
        <w:t xml:space="preserve">, à la date anniversaire du contrat.</w:t>
      </w:r>
    </w:p>
    <w:p>
      <w:pPr>
        <w:shd w:fill="16243A" w:val="clear"/>
        <w:spacing w:after="140" w:before="280" w:line="360"/>
        <w:ind w:left="140" w:right="140"/>
      </w:pPr>
      <w:r>
        <w:rPr>
          <w:rFonts w:ascii="Georgia" w:cs="Georgia" w:eastAsia="Georgia" w:hAnsi="Georgia"/>
          <w:b/>
          <w:bCs/>
          <w:color w:val="B0832F"/>
          <w:sz w:val="24"/>
          <w:szCs w:val="24"/>
        </w:rPr>
        <w:t xml:space="preserve">Article 6   </w:t>
      </w:r>
      <w:r>
        <w:rPr>
          <w:rFonts w:ascii="Georgia" w:cs="Georgia" w:eastAsia="Georgia" w:hAnsi="Georgia"/>
          <w:b/>
          <w:bCs/>
          <w:color w:val="FFFFFF"/>
          <w:sz w:val="24"/>
          <w:szCs w:val="24"/>
        </w:rPr>
        <w:t xml:space="preserve">Dépôt de garantie</w:t>
      </w:r>
    </w:p>
    <w:p>
      <w:pPr>
        <w:spacing w:after="120" w:before="0" w:line="288"/>
      </w:pPr>
      <w:r>
        <w:t xml:space="preserve">Le preneur verse un dépôt de garantie de </w:t>
      </w:r>
      <w:r>
        <w:rPr>
          <w:u w:val="single" w:color="9AA3AE"/>
        </w:rPr>
        <w:t xml:space="preserve">                </w:t>
      </w:r>
      <w:r>
        <w:t xml:space="preserve"> €, restitué en fin de bail déduction faite des sommes éventuellement dues.</w:t>
      </w:r>
    </w:p>
    <w:p>
      <w:pPr>
        <w:shd w:fill="16243A" w:val="clear"/>
        <w:spacing w:after="140" w:before="280" w:line="360"/>
        <w:ind w:left="140" w:right="140"/>
      </w:pPr>
      <w:r>
        <w:rPr>
          <w:rFonts w:ascii="Georgia" w:cs="Georgia" w:eastAsia="Georgia" w:hAnsi="Georgia"/>
          <w:b/>
          <w:bCs/>
          <w:color w:val="B0832F"/>
          <w:sz w:val="24"/>
          <w:szCs w:val="24"/>
        </w:rPr>
        <w:t xml:space="preserve">Article 7   </w:t>
      </w:r>
      <w:r>
        <w:rPr>
          <w:rFonts w:ascii="Georgia" w:cs="Georgia" w:eastAsia="Georgia" w:hAnsi="Georgia"/>
          <w:b/>
          <w:bCs/>
          <w:color w:val="FFFFFF"/>
          <w:sz w:val="24"/>
          <w:szCs w:val="24"/>
        </w:rPr>
        <w:t xml:space="preserve">Charges, impôts et taxes</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200"/>
        <w:gridCol w:w="5826"/>
      </w:tblGrid>
      <w:tr>
        <w:trPr>
          <w:trHeight w:val="540" w:hRule="atLeast"/>
        </w:trPr>
        <w:tc>
          <w:tcPr>
            <w:tcW w:type="dxa" w:w="3200"/>
            <w:tcBorders>
              <w:top w:val="single" w:color="DCE1E8" w:sz="2"/>
              <w:left w:val="single" w:color="DCE1E8" w:sz="2"/>
              <w:bottom w:val="single" w:color="DCE1E8" w:sz="2"/>
              <w:right w:val="single" w:color="DCE1E8" w:sz="2"/>
            </w:tcBorders>
            <w:shd w:fill="EDF0F4" w:val="clear"/>
            <w:tcMar>
              <w:top w:type="dxa" w:w="70"/>
              <w:left w:type="dxa" w:w="130"/>
              <w:bottom w:type="dxa" w:w="70"/>
              <w:right w:type="dxa" w:w="130"/>
            </w:tcMar>
            <w:vAlign w:val="center"/>
          </w:tcPr>
          <w:p>
            <w:r>
              <w:rPr>
                <w:b/>
                <w:bCs/>
                <w:color w:val="16243A"/>
                <w:sz w:val="19"/>
                <w:szCs w:val="19"/>
              </w:rPr>
              <w:t xml:space="preserve">Modalité des charges</w:t>
            </w:r>
          </w:p>
        </w:tc>
        <w:tc>
          <w:tcPr>
            <w:tcW w:type="dxa" w:w="5826"/>
            <w:tcBorders>
              <w:top w:val="single" w:color="DCE1E8" w:sz="2"/>
              <w:left w:val="single" w:color="DCE1E8" w:sz="2"/>
              <w:bottom w:val="single" w:color="DCE1E8" w:sz="2"/>
              <w:right w:val="single" w:color="DCE1E8" w:sz="2"/>
            </w:tcBorders>
            <w:tcMar>
              <w:top w:type="dxa" w:w="70"/>
              <w:left w:type="dxa" w:w="130"/>
              <w:bottom w:type="dxa" w:w="70"/>
              <w:right w:type="dxa" w:w="130"/>
            </w:tcMar>
            <w:vAlign w:val="center"/>
          </w:tcPr>
          <w:p>
            <w:r>
              <w:t xml:space="preserve"/>
            </w:r>
          </w:p>
        </w:tc>
      </w:tr>
      <w:tr>
        <w:trPr>
          <w:trHeight w:val="540" w:hRule="atLeast"/>
        </w:trPr>
        <w:tc>
          <w:tcPr>
            <w:tcW w:type="dxa" w:w="3200"/>
            <w:tcBorders>
              <w:top w:val="single" w:color="DCE1E8" w:sz="2"/>
              <w:left w:val="single" w:color="DCE1E8" w:sz="2"/>
              <w:bottom w:val="single" w:color="DCE1E8" w:sz="2"/>
              <w:right w:val="single" w:color="DCE1E8" w:sz="2"/>
            </w:tcBorders>
            <w:shd w:fill="EDF0F4" w:val="clear"/>
            <w:tcMar>
              <w:top w:type="dxa" w:w="70"/>
              <w:left w:type="dxa" w:w="130"/>
              <w:bottom w:type="dxa" w:w="70"/>
              <w:right w:type="dxa" w:w="130"/>
            </w:tcMar>
            <w:vAlign w:val="center"/>
          </w:tcPr>
          <w:p>
            <w:r>
              <w:rPr>
                <w:b/>
                <w:bCs/>
                <w:color w:val="16243A"/>
                <w:sz w:val="19"/>
                <w:szCs w:val="19"/>
              </w:rPr>
              <w:t xml:space="preserve">Montant</w:t>
            </w:r>
          </w:p>
        </w:tc>
        <w:tc>
          <w:tcPr>
            <w:tcW w:type="dxa" w:w="5826"/>
            <w:tcBorders>
              <w:top w:val="single" w:color="DCE1E8" w:sz="2"/>
              <w:left w:val="single" w:color="DCE1E8" w:sz="2"/>
              <w:bottom w:val="single" w:color="DCE1E8" w:sz="2"/>
              <w:right w:val="single" w:color="DCE1E8" w:sz="2"/>
            </w:tcBorders>
            <w:tcMar>
              <w:top w:type="dxa" w:w="70"/>
              <w:left w:type="dxa" w:w="130"/>
              <w:bottom w:type="dxa" w:w="70"/>
              <w:right w:type="dxa" w:w="130"/>
            </w:tcMar>
            <w:vAlign w:val="center"/>
          </w:tcPr>
          <w:p>
            <w:r>
              <w:t xml:space="preserve"/>
            </w:r>
          </w:p>
        </w:tc>
      </w:tr>
      <w:tr>
        <w:trPr>
          <w:trHeight w:val="540" w:hRule="atLeast"/>
        </w:trPr>
        <w:tc>
          <w:tcPr>
            <w:tcW w:type="dxa" w:w="3200"/>
            <w:tcBorders>
              <w:top w:val="single" w:color="DCE1E8" w:sz="2"/>
              <w:left w:val="single" w:color="DCE1E8" w:sz="2"/>
              <w:bottom w:val="single" w:color="DCE1E8" w:sz="2"/>
              <w:right w:val="single" w:color="DCE1E8" w:sz="2"/>
            </w:tcBorders>
            <w:shd w:fill="EDF0F4" w:val="clear"/>
            <w:tcMar>
              <w:top w:type="dxa" w:w="70"/>
              <w:left w:type="dxa" w:w="130"/>
              <w:bottom w:type="dxa" w:w="70"/>
              <w:right w:type="dxa" w:w="130"/>
            </w:tcMar>
            <w:vAlign w:val="center"/>
          </w:tcPr>
          <w:p>
            <w:r>
              <w:rPr>
                <w:b/>
                <w:bCs/>
                <w:color w:val="16243A"/>
                <w:sz w:val="19"/>
                <w:szCs w:val="19"/>
              </w:rPr>
              <w:t xml:space="preserve">Répartition de la taxe foncière</w:t>
            </w:r>
          </w:p>
        </w:tc>
        <w:tc>
          <w:tcPr>
            <w:tcW w:type="dxa" w:w="5826"/>
            <w:tcBorders>
              <w:top w:val="single" w:color="DCE1E8" w:sz="2"/>
              <w:left w:val="single" w:color="DCE1E8" w:sz="2"/>
              <w:bottom w:val="single" w:color="DCE1E8" w:sz="2"/>
              <w:right w:val="single" w:color="DCE1E8" w:sz="2"/>
            </w:tcBorders>
            <w:tcMar>
              <w:top w:type="dxa" w:w="70"/>
              <w:left w:type="dxa" w:w="130"/>
              <w:bottom w:type="dxa" w:w="70"/>
              <w:right w:type="dxa" w:w="130"/>
            </w:tcMar>
            <w:vAlign w:val="center"/>
          </w:tcPr>
          <w:p>
            <w:r>
              <w:t xml:space="preserve"/>
            </w:r>
          </w:p>
        </w:tc>
      </w:tr>
    </w:tbl>
    <w:p>
      <w:pPr>
        <w:shd w:fill="16243A" w:val="clear"/>
        <w:spacing w:after="140" w:before="280" w:line="360"/>
        <w:ind w:left="140" w:right="140"/>
      </w:pPr>
      <w:r>
        <w:rPr>
          <w:rFonts w:ascii="Georgia" w:cs="Georgia" w:eastAsia="Georgia" w:hAnsi="Georgia"/>
          <w:b/>
          <w:bCs/>
          <w:color w:val="B0832F"/>
          <w:sz w:val="24"/>
          <w:szCs w:val="24"/>
        </w:rPr>
        <w:t xml:space="preserve">Article 8   </w:t>
      </w:r>
      <w:r>
        <w:rPr>
          <w:rFonts w:ascii="Georgia" w:cs="Georgia" w:eastAsia="Georgia" w:hAnsi="Georgia"/>
          <w:b/>
          <w:bCs/>
          <w:color w:val="FFFFFF"/>
          <w:sz w:val="24"/>
          <w:szCs w:val="24"/>
        </w:rPr>
        <w:t xml:space="preserve">Travaux, entretien et réparations</w:t>
      </w:r>
    </w:p>
    <w:p>
      <w:pPr>
        <w:spacing w:after="120" w:before="0" w:line="288"/>
      </w:pPr>
      <w:r>
        <w:t xml:space="preserve">Le bailleur supporte les grosses réparations (article 606 du Code civil) ; le preneur assure l'entretien courant et les réparations locatives. Toute transformation des lieux requiert l'accord écrit du bailleur.</w:t>
      </w:r>
    </w:p>
    <w:p>
      <w:pPr>
        <w:shd w:fill="16243A" w:val="clear"/>
        <w:spacing w:after="140" w:before="280" w:line="360"/>
        <w:ind w:left="140" w:right="140"/>
      </w:pPr>
      <w:r>
        <w:rPr>
          <w:rFonts w:ascii="Georgia" w:cs="Georgia" w:eastAsia="Georgia" w:hAnsi="Georgia"/>
          <w:b/>
          <w:bCs/>
          <w:color w:val="B0832F"/>
          <w:sz w:val="24"/>
          <w:szCs w:val="24"/>
        </w:rPr>
        <w:t xml:space="preserve">Article 9   </w:t>
      </w:r>
      <w:r>
        <w:rPr>
          <w:rFonts w:ascii="Georgia" w:cs="Georgia" w:eastAsia="Georgia" w:hAnsi="Georgia"/>
          <w:b/>
          <w:bCs/>
          <w:color w:val="FFFFFF"/>
          <w:sz w:val="24"/>
          <w:szCs w:val="24"/>
        </w:rPr>
        <w:t xml:space="preserve">Congé (résiliation)</w:t>
      </w:r>
    </w:p>
    <w:p>
      <w:pPr>
        <w:spacing w:after="120" w:before="0" w:line="288"/>
      </w:pPr>
      <w:r>
        <w:rPr>
          <w:b/>
          <w:bCs/>
          <w:color w:val="16243A"/>
        </w:rPr>
        <w:t xml:space="preserve">Par le preneur — </w:t>
      </w:r>
      <w:r>
        <w:t xml:space="preserve">à tout moment, par lettre recommandée avec avis de réception, moyennant un préavis de </w:t>
      </w:r>
      <w:r>
        <w:rPr>
          <w:b/>
          <w:bCs/>
          <w:color w:val="16243A"/>
        </w:rPr>
        <w:t xml:space="preserve">six (6) mois</w:t>
      </w:r>
      <w:r>
        <w:t xml:space="preserve">.</w:t>
      </w:r>
    </w:p>
    <w:p>
      <w:pPr>
        <w:spacing w:after="120" w:before="0" w:line="288"/>
      </w:pPr>
      <w:r>
        <w:rPr>
          <w:b/>
          <w:bCs/>
          <w:color w:val="16243A"/>
        </w:rPr>
        <w:t xml:space="preserve">Par le bailleur — </w:t>
      </w:r>
      <w:r>
        <w:t xml:space="preserve">au terme du contrat, par lettre recommandée avec avis de réception, moyennant un préavis de </w:t>
      </w:r>
      <w:r>
        <w:rPr>
          <w:b/>
          <w:bCs/>
          <w:color w:val="16243A"/>
        </w:rPr>
        <w:t xml:space="preserve">six (6) mois</w:t>
      </w:r>
      <w:r>
        <w:t xml:space="preserve">.</w:t>
      </w:r>
    </w:p>
    <w:p>
      <w:pPr>
        <w:shd w:fill="16243A" w:val="clear"/>
        <w:spacing w:after="140" w:before="280" w:line="360"/>
        <w:ind w:left="140" w:right="140"/>
      </w:pPr>
      <w:r>
        <w:rPr>
          <w:rFonts w:ascii="Georgia" w:cs="Georgia" w:eastAsia="Georgia" w:hAnsi="Georgia"/>
          <w:b/>
          <w:bCs/>
          <w:color w:val="B0832F"/>
          <w:sz w:val="24"/>
          <w:szCs w:val="24"/>
        </w:rPr>
        <w:t xml:space="preserve">Article 10   </w:t>
      </w:r>
      <w:r>
        <w:rPr>
          <w:rFonts w:ascii="Georgia" w:cs="Georgia" w:eastAsia="Georgia" w:hAnsi="Georgia"/>
          <w:b/>
          <w:bCs/>
          <w:color w:val="FFFFFF"/>
          <w:sz w:val="24"/>
          <w:szCs w:val="24"/>
        </w:rPr>
        <w:t xml:space="preserve">Cession et sous-location</w:t>
      </w:r>
    </w:p>
    <w:p>
      <w:pPr>
        <w:spacing w:after="120" w:before="0" w:line="288"/>
      </w:pPr>
      <w:r>
        <w:t xml:space="preserve">La cession du bail et la sous-location, totale ou partielle, sont soumises à l'accord écrit préalable du bailleur, sauf stipulation contraire du présent contrat.</w:t>
      </w:r>
    </w:p>
    <w:p>
      <w:pPr>
        <w:shd w:fill="16243A" w:val="clear"/>
        <w:spacing w:after="140" w:before="280" w:line="360"/>
        <w:ind w:left="140" w:right="140"/>
      </w:pPr>
      <w:r>
        <w:rPr>
          <w:rFonts w:ascii="Georgia" w:cs="Georgia" w:eastAsia="Georgia" w:hAnsi="Georgia"/>
          <w:b/>
          <w:bCs/>
          <w:color w:val="B0832F"/>
          <w:sz w:val="24"/>
          <w:szCs w:val="24"/>
        </w:rPr>
        <w:t xml:space="preserve">Article 11   </w:t>
      </w:r>
      <w:r>
        <w:rPr>
          <w:rFonts w:ascii="Georgia" w:cs="Georgia" w:eastAsia="Georgia" w:hAnsi="Georgia"/>
          <w:b/>
          <w:bCs/>
          <w:color w:val="FFFFFF"/>
          <w:sz w:val="24"/>
          <w:szCs w:val="24"/>
        </w:rPr>
        <w:t xml:space="preserve">Assurances</w:t>
      </w:r>
    </w:p>
    <w:p>
      <w:pPr>
        <w:spacing w:after="120" w:before="0" w:line="288"/>
      </w:pPr>
      <w:r>
        <w:t xml:space="preserve">Le preneur s'assure contre les risques locatifs (incendie, dégâts des eaux, responsabilité) et en justifie à la remise des clés puis à toute demande du bailleur.</w:t>
      </w:r>
    </w:p>
    <w:p>
      <w:pPr>
        <w:shd w:fill="16243A" w:val="clear"/>
        <w:spacing w:after="140" w:before="280" w:line="360"/>
        <w:ind w:left="140" w:right="140"/>
      </w:pPr>
      <w:r>
        <w:rPr>
          <w:rFonts w:ascii="Georgia" w:cs="Georgia" w:eastAsia="Georgia" w:hAnsi="Georgia"/>
          <w:b/>
          <w:bCs/>
          <w:color w:val="B0832F"/>
          <w:sz w:val="24"/>
          <w:szCs w:val="24"/>
        </w:rPr>
        <w:t xml:space="preserve">Article 12   </w:t>
      </w:r>
      <w:r>
        <w:rPr>
          <w:rFonts w:ascii="Georgia" w:cs="Georgia" w:eastAsia="Georgia" w:hAnsi="Georgia"/>
          <w:b/>
          <w:bCs/>
          <w:color w:val="FFFFFF"/>
          <w:sz w:val="24"/>
          <w:szCs w:val="24"/>
        </w:rPr>
        <w:t xml:space="preserve">Clause résolutoire</w:t>
      </w:r>
    </w:p>
    <w:p>
      <w:pPr>
        <w:spacing w:after="120" w:before="0" w:line="288"/>
      </w:pPr>
      <w:r>
        <w:t xml:space="preserve">À défaut de paiement du loyer ou des charges, ou en cas d'inexécution d'une obligation du bail, et après un commandement ou une mise en demeure demeurés infructueux dans le délai d'un mois, le bail sera résilié de plein droit si bon semble au bailleur.</w:t>
      </w:r>
    </w:p>
    <w:p>
      <w:pPr>
        <w:shd w:fill="16243A" w:val="clear"/>
        <w:spacing w:after="140" w:before="280" w:line="360"/>
        <w:ind w:left="140" w:right="140"/>
      </w:pPr>
      <w:r>
        <w:rPr>
          <w:rFonts w:ascii="Georgia" w:cs="Georgia" w:eastAsia="Georgia" w:hAnsi="Georgia"/>
          <w:b/>
          <w:bCs/>
          <w:color w:val="B0832F"/>
          <w:sz w:val="24"/>
          <w:szCs w:val="24"/>
        </w:rPr>
        <w:t xml:space="preserve">Article 13   </w:t>
      </w:r>
      <w:r>
        <w:rPr>
          <w:rFonts w:ascii="Georgia" w:cs="Georgia" w:eastAsia="Georgia" w:hAnsi="Georgia"/>
          <w:b/>
          <w:bCs/>
          <w:color w:val="FFFFFF"/>
          <w:sz w:val="24"/>
          <w:szCs w:val="24"/>
        </w:rPr>
        <w:t xml:space="preserve">État des lieux, diagnostics et annexes</w:t>
      </w:r>
    </w:p>
    <w:p>
      <w:pPr>
        <w:spacing w:after="120" w:before="0" w:line="288"/>
      </w:pPr>
      <w:r>
        <w:rPr>
          <w:i/>
          <w:iCs/>
          <w:color w:val="6B7280"/>
        </w:rPr>
        <w:t xml:space="preserve">Un état des lieux contradictoire est établi à l'entrée et à la sortie. Sont annexés au contrat :</w:t>
      </w:r>
    </w:p>
    <w:p>
      <w:pPr>
        <w:pStyle w:val="ListParagraph"/>
        <w:numPr>
          <w:ilvl w:val="0"/>
          <w:numId w:val="2"/>
        </w:numPr>
        <w:spacing w:after="90" w:line="288"/>
      </w:pPr>
      <w:r>
        <w:t xml:space="preserve">l'état des lieux d'entrée ;</w:t>
      </w:r>
    </w:p>
    <w:p>
      <w:pPr>
        <w:pStyle w:val="ListParagraph"/>
        <w:numPr>
          <w:ilvl w:val="0"/>
          <w:numId w:val="2"/>
        </w:numPr>
        <w:spacing w:after="90" w:line="288"/>
      </w:pPr>
      <w:r>
        <w:t xml:space="preserve">le diagnostic de performance énergétique (DPE) ;</w:t>
      </w:r>
    </w:p>
    <w:p>
      <w:pPr>
        <w:pStyle w:val="ListParagraph"/>
        <w:numPr>
          <w:ilvl w:val="0"/>
          <w:numId w:val="2"/>
        </w:numPr>
        <w:spacing w:after="90" w:line="288"/>
      </w:pPr>
      <w:r>
        <w:t xml:space="preserve">l'état des risques et pollutions (ERP) ;</w:t>
      </w:r>
    </w:p>
    <w:p>
      <w:pPr>
        <w:pStyle w:val="ListParagraph"/>
        <w:numPr>
          <w:ilvl w:val="0"/>
          <w:numId w:val="2"/>
        </w:numPr>
        <w:spacing w:after="90" w:line="288"/>
      </w:pPr>
      <w:r>
        <w:t xml:space="preserve">le cas échéant, le diagnostic amiante ;</w:t>
      </w:r>
    </w:p>
    <w:p>
      <w:pPr>
        <w:pStyle w:val="ListParagraph"/>
        <w:numPr>
          <w:ilvl w:val="0"/>
          <w:numId w:val="2"/>
        </w:numPr>
        <w:spacing w:after="90" w:line="288"/>
      </w:pPr>
      <w:r>
        <w:t xml:space="preserve">le cas échéant, les extraits du règlement de copropriété.</w:t>
      </w:r>
    </w:p>
    <w:p>
      <w:pPr>
        <w:shd w:fill="16243A" w:val="clear"/>
        <w:spacing w:after="140" w:before="280" w:line="360"/>
        <w:ind w:left="140" w:right="140"/>
      </w:pPr>
      <w:r>
        <w:rPr>
          <w:rFonts w:ascii="Georgia" w:cs="Georgia" w:eastAsia="Georgia" w:hAnsi="Georgia"/>
          <w:b/>
          <w:bCs/>
          <w:color w:val="B0832F"/>
          <w:sz w:val="24"/>
          <w:szCs w:val="24"/>
        </w:rPr>
        <w:t xml:space="preserve">✓   </w:t>
      </w:r>
      <w:r>
        <w:rPr>
          <w:rFonts w:ascii="Georgia" w:cs="Georgia" w:eastAsia="Georgia" w:hAnsi="Georgia"/>
          <w:b/>
          <w:bCs/>
          <w:color w:val="FFFFFF"/>
          <w:sz w:val="24"/>
          <w:szCs w:val="24"/>
        </w:rPr>
        <w:t xml:space="preserve">Signatures</w:t>
      </w:r>
    </w:p>
    <w:p>
      <w:pPr>
        <w:spacing w:after="220" w:before="0" w:line="288"/>
      </w:pPr>
      <w:r>
        <w:t xml:space="preserve">Fait à </w:t>
      </w:r>
      <w:r>
        <w:rPr>
          <w:u w:val="single" w:color="9AA3AE"/>
        </w:rPr>
        <w:t xml:space="preserve">                </w:t>
      </w:r>
      <w:r>
        <w:t xml:space="preserve">, le </w:t>
      </w:r>
      <w:r>
        <w:rPr>
          <w:u w:val="single" w:color="9AA3AE"/>
        </w:rPr>
        <w:t xml:space="preserve">                </w:t>
      </w:r>
      <w:r>
        <w:t xml:space="preserve">, en deux exemplaires originaux, dont un remis à chaque partie.</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4513"/>
        <w:gridCol w:w="4513"/>
      </w:tblGrid>
      <w:tr>
        <w:tc>
          <w:tcPr>
            <w:tcW w:type="dxa" w:w="4513"/>
            <w:tcBorders>
              <w:top w:val="single" w:color="DCE1E8" w:sz="2"/>
              <w:left w:val="single" w:color="DCE1E8" w:sz="2"/>
              <w:bottom w:val="single" w:color="DCE1E8" w:sz="2"/>
              <w:right w:val="single" w:color="DCE1E8" w:sz="2"/>
            </w:tcBorders>
            <w:shd w:fill="EDF0F4" w:val="clear"/>
            <w:tcMar>
              <w:top w:type="dxa" w:w="70"/>
              <w:left w:type="dxa" w:w="130"/>
              <w:bottom w:type="dxa" w:w="70"/>
              <w:right w:type="dxa" w:w="130"/>
            </w:tcMar>
            <w:vAlign w:val="center"/>
          </w:tcPr>
          <w:p>
            <w:r>
              <w:rPr>
                <w:b/>
                <w:bCs/>
                <w:color w:val="16243A"/>
              </w:rPr>
              <w:t xml:space="preserve">Le bailleur</w:t>
            </w:r>
          </w:p>
          <w:p>
            <w:r>
              <w:rPr>
                <w:i/>
                <w:iCs/>
                <w:color w:val="6B7280"/>
                <w:sz w:val="16"/>
                <w:szCs w:val="16"/>
              </w:rPr>
              <w:t xml:space="preserve">Précédée de « Lu et approuvé »</w:t>
            </w:r>
          </w:p>
        </w:tc>
        <w:tc>
          <w:tcPr>
            <w:tcW w:type="dxa" w:w="4513"/>
            <w:tcBorders>
              <w:top w:val="single" w:color="DCE1E8" w:sz="2"/>
              <w:left w:val="single" w:color="DCE1E8" w:sz="2"/>
              <w:bottom w:val="single" w:color="DCE1E8" w:sz="2"/>
              <w:right w:val="single" w:color="DCE1E8" w:sz="2"/>
            </w:tcBorders>
            <w:shd w:fill="EDF0F4" w:val="clear"/>
            <w:tcMar>
              <w:top w:type="dxa" w:w="70"/>
              <w:left w:type="dxa" w:w="130"/>
              <w:bottom w:type="dxa" w:w="70"/>
              <w:right w:type="dxa" w:w="130"/>
            </w:tcMar>
            <w:vAlign w:val="center"/>
          </w:tcPr>
          <w:p>
            <w:r>
              <w:rPr>
                <w:b/>
                <w:bCs/>
                <w:color w:val="16243A"/>
              </w:rPr>
              <w:t xml:space="preserve">Le preneur</w:t>
            </w:r>
          </w:p>
          <w:p>
            <w:r>
              <w:rPr>
                <w:i/>
                <w:iCs/>
                <w:color w:val="6B7280"/>
                <w:sz w:val="16"/>
                <w:szCs w:val="16"/>
              </w:rPr>
              <w:t xml:space="preserve">Précédée de « Lu et approuvé »</w:t>
            </w:r>
          </w:p>
        </w:tc>
      </w:tr>
      <w:tr>
        <w:tc>
          <w:tcPr>
            <w:tcW w:type="dxa" w:w="4513"/>
            <w:tcBorders>
              <w:top w:val="single" w:color="DCE1E8" w:sz="2"/>
              <w:left w:val="single" w:color="DCE1E8" w:sz="2"/>
              <w:bottom w:val="single" w:color="DCE1E8" w:sz="2"/>
              <w:right w:val="single" w:color="DCE1E8" w:sz="2"/>
            </w:tcBorders>
            <w:tcMar>
              <w:top w:type="dxa" w:w="70"/>
              <w:left w:type="dxa" w:w="130"/>
              <w:bottom w:type="dxa" w:w="70"/>
              <w:right w:type="dxa" w:w="130"/>
            </w:tcMar>
            <w:vAlign w:val="center"/>
          </w:tcPr>
          <w:p>
            <w:pPr>
              <w:spacing w:before="700"/>
            </w:pPr>
            <w:r>
              <w:t xml:space="preserve"/>
            </w:r>
          </w:p>
        </w:tc>
        <w:tc>
          <w:tcPr>
            <w:tcW w:type="dxa" w:w="4513"/>
            <w:tcBorders>
              <w:top w:val="single" w:color="DCE1E8" w:sz="2"/>
              <w:left w:val="single" w:color="DCE1E8" w:sz="2"/>
              <w:bottom w:val="single" w:color="DCE1E8" w:sz="2"/>
              <w:right w:val="single" w:color="DCE1E8" w:sz="2"/>
            </w:tcBorders>
            <w:tcMar>
              <w:top w:type="dxa" w:w="70"/>
              <w:left w:type="dxa" w:w="130"/>
              <w:bottom w:type="dxa" w:w="70"/>
              <w:right w:type="dxa" w:w="130"/>
            </w:tcMar>
            <w:vAlign w:val="center"/>
          </w:tcPr>
          <w:p>
            <w:pPr>
              <w:spacing w:before="700"/>
            </w:pPr>
            <w:r>
              <w:t xml:space="preserve"/>
            </w:r>
          </w:p>
        </w:tc>
      </w:tr>
    </w:tbl>
    <w:sectPr>
      <w:headerReference w:type="default" r:id="rId7"/>
      <w:footerReference w:type="default" r:id="rId8"/>
      <w:pgSz w:w="11906" w:h="16838" w:orient="portrait"/>
      <w:pgMar w:top="1080" w:right="1134" w:bottom="1080"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CE1E8" w:sz="4" w:space="4"/>
      </w:pBdr>
      <w:jc w:val="center"/>
    </w:pPr>
    <w:r>
      <w:rPr>
        <w:color w:val="6B7280"/>
        <w:sz w:val="15"/>
        <w:szCs w:val="15"/>
      </w:rPr>
      <w:t xml:space="preserve">Bail professionnel   ·   page </w:t>
    </w:r>
    <w:r>
      <w:rPr>
        <w:color w:val="6B7280"/>
        <w:sz w:val="15"/>
        <w:szCs w:val="15"/>
      </w:rPr>
      <w:fldChar w:fldCharType="begin"/>
      <w:instrText xml:space="preserve">PAGE</w:instrText>
      <w:fldChar w:fldCharType="separate"/>
      <w:fldChar w:fldCharType="end"/>
    </w:r>
    <w:r>
      <w:rPr>
        <w:color w:val="6B7280"/>
        <w:sz w:val="15"/>
        <w:szCs w:val="15"/>
      </w:rPr>
      <w:t xml:space="preserve"> / </w:t>
    </w:r>
    <w:r>
      <w:rPr>
        <w:color w:val="6B7280"/>
        <w:sz w:val="15"/>
        <w:szCs w:val="15"/>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CE1E8" w:sz="4" w:space="4"/>
      </w:pBdr>
      <w:jc w:val="right"/>
    </w:pPr>
    <w:r>
      <w:rPr>
        <w:rFonts w:ascii="Georgia" w:cs="Georgia" w:eastAsia="Georgia" w:hAnsi="Georgia"/>
        <w:i/>
        <w:iCs/>
        <w:color w:val="6B7280"/>
        <w:sz w:val="15"/>
        <w:szCs w:val="15"/>
      </w:rPr>
      <w:t xml:space="preserve">Bail professionnel</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40" w:hanging="280"/>
      </w:pPr>
      <w:rPr>
        <w:color w:val="B0832F"/>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733"/>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2026-06-16T06:55:31.371Z</dcterms:created>
  <dcterms:modified xsi:type="dcterms:W3CDTF">2026-06-16T06:55:31.371Z</dcterms:modified>
</cp:coreProperties>
</file>

<file path=docProps/custom.xml><?xml version="1.0" encoding="utf-8"?>
<Properties xmlns="http://schemas.openxmlformats.org/officeDocument/2006/custom-properties" xmlns:vt="http://schemas.openxmlformats.org/officeDocument/2006/docPropsVTypes"/>
</file>